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63462" w14:textId="2CF34DA3" w:rsidR="00454737" w:rsidRPr="007A395D" w:rsidRDefault="00454737" w:rsidP="00454737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paper: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Pr="007A395D">
        <w:rPr>
          <w:rFonts w:ascii="Calibri" w:hAnsi="Calibri"/>
        </w:rPr>
        <w:t xml:space="preserve">  </w:t>
      </w:r>
      <w:r>
        <w:rPr>
          <w:rFonts w:ascii="Calibri" w:hAnsi="Calibri"/>
        </w:rPr>
        <w:t>VTS45</w:t>
      </w:r>
      <w:r w:rsidRPr="007A395D">
        <w:rPr>
          <w:rFonts w:ascii="Calibri" w:hAnsi="Calibri"/>
        </w:rPr>
        <w:t>-</w:t>
      </w:r>
      <w:r w:rsidR="00564285">
        <w:rPr>
          <w:rFonts w:ascii="Calibri" w:hAnsi="Calibri"/>
        </w:rPr>
        <w:t>8.1.6</w:t>
      </w:r>
    </w:p>
    <w:p w14:paraId="05243D6A" w14:textId="77777777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  <w:lang w:eastAsia="zh-CN"/>
        </w:rPr>
      </w:pPr>
    </w:p>
    <w:p w14:paraId="5A54CC9F" w14:textId="77777777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</w:rPr>
      </w:pPr>
    </w:p>
    <w:p w14:paraId="023AC3AF" w14:textId="77777777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2371D4D6" w14:textId="3380A866" w:rsidR="00454737" w:rsidRPr="007A395D" w:rsidRDefault="00454737" w:rsidP="00454737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C74D5A">
        <w:rPr>
          <w:rFonts w:ascii="Calibri" w:hAnsi="Calibri"/>
          <w:b/>
          <w:sz w:val="24"/>
          <w:szCs w:val="24"/>
        </w:rPr>
        <w:t>√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60FEDB6D" w14:textId="46CAB115" w:rsidR="00454737" w:rsidRPr="007A395D" w:rsidRDefault="00454737" w:rsidP="00454737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="00C74D5A">
        <w:rPr>
          <w:rFonts w:ascii="Calibri" w:hAnsi="Calibri"/>
          <w:b/>
          <w:sz w:val="24"/>
          <w:szCs w:val="24"/>
        </w:rPr>
        <w:t>√</w:t>
      </w:r>
      <w:r w:rsidRPr="007A395D">
        <w:rPr>
          <w:rFonts w:ascii="Calibri" w:hAnsi="Calibri" w:cs="Arial"/>
          <w:sz w:val="24"/>
          <w:szCs w:val="24"/>
        </w:rPr>
        <w:t xml:space="preserve"> </w:t>
      </w:r>
      <w:r w:rsidR="00C74D5A">
        <w:rPr>
          <w:rFonts w:ascii="Calibri" w:hAnsi="Calibri" w:cs="Arial" w:hint="eastAsia"/>
          <w:sz w:val="24"/>
          <w:szCs w:val="24"/>
          <w:lang w:eastAsia="zh-CN"/>
        </w:rPr>
        <w:t xml:space="preserve"> </w:t>
      </w:r>
      <w:r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2C34D298" w14:textId="77777777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</w:rPr>
      </w:pPr>
    </w:p>
    <w:p w14:paraId="017FDD93" w14:textId="5C1B80BE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Agenda item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="00564285">
        <w:rPr>
          <w:rFonts w:ascii="Calibri" w:hAnsi="Calibri"/>
        </w:rPr>
        <w:t>8</w:t>
      </w:r>
    </w:p>
    <w:p w14:paraId="21640767" w14:textId="37FB1BDF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Task Number </w:t>
      </w:r>
      <w:r w:rsidRPr="007A395D">
        <w:rPr>
          <w:rFonts w:ascii="Calibri" w:hAnsi="Calibri"/>
          <w:vertAlign w:val="superscript"/>
        </w:rPr>
        <w:t>2</w:t>
      </w:r>
      <w:r w:rsidRPr="007A395D">
        <w:rPr>
          <w:rFonts w:ascii="Calibri" w:hAnsi="Calibri"/>
        </w:rPr>
        <w:tab/>
      </w:r>
      <w:r w:rsidR="00564285">
        <w:rPr>
          <w:rFonts w:ascii="Calibri" w:hAnsi="Calibri"/>
        </w:rPr>
        <w:t>1.1.1</w:t>
      </w:r>
      <w:bookmarkStart w:id="0" w:name="_GoBack"/>
      <w:bookmarkEnd w:id="0"/>
    </w:p>
    <w:p w14:paraId="157CBA56" w14:textId="659A03D1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  <w:color w:val="FF0000"/>
          <w:lang w:eastAsia="zh-CN"/>
        </w:rPr>
      </w:pPr>
      <w:r w:rsidRPr="007A395D">
        <w:rPr>
          <w:rFonts w:ascii="Calibri" w:hAnsi="Calibri"/>
        </w:rPr>
        <w:t>Author(s)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="00C25869">
        <w:rPr>
          <w:rFonts w:ascii="Calibri" w:hAnsi="Calibri" w:hint="eastAsia"/>
          <w:lang w:eastAsia="zh-CN"/>
        </w:rPr>
        <w:t>China</w:t>
      </w:r>
      <w:r w:rsidR="001854ED">
        <w:rPr>
          <w:rFonts w:ascii="Calibri" w:hAnsi="Calibri" w:hint="eastAsia"/>
          <w:lang w:eastAsia="zh-CN"/>
        </w:rPr>
        <w:t xml:space="preserve"> MSA</w:t>
      </w:r>
    </w:p>
    <w:p w14:paraId="6D0531E5" w14:textId="77777777" w:rsidR="00454737" w:rsidRPr="007A395D" w:rsidRDefault="00454737" w:rsidP="00454737">
      <w:pPr>
        <w:pStyle w:val="BodyText"/>
        <w:tabs>
          <w:tab w:val="left" w:pos="2835"/>
        </w:tabs>
        <w:rPr>
          <w:rFonts w:ascii="Calibri" w:hAnsi="Calibri"/>
        </w:rPr>
      </w:pPr>
    </w:p>
    <w:p w14:paraId="6BE97854" w14:textId="72579B95" w:rsidR="00454737" w:rsidRPr="00454737" w:rsidRDefault="007F3446" w:rsidP="00454737">
      <w:pPr>
        <w:pStyle w:val="Title"/>
        <w:rPr>
          <w:rFonts w:ascii="Calibri" w:hAnsi="Calibri"/>
          <w:color w:val="0070C0"/>
          <w:lang w:val="en-US"/>
        </w:rPr>
      </w:pPr>
      <w:r>
        <w:rPr>
          <w:rFonts w:ascii="Calibri" w:hAnsi="Calibri" w:hint="eastAsia"/>
          <w:color w:val="0070C0"/>
          <w:lang w:val="en-US" w:eastAsia="zh-CN"/>
        </w:rPr>
        <w:t>Proposal</w:t>
      </w:r>
      <w:r w:rsidR="00454737" w:rsidRPr="00454737">
        <w:rPr>
          <w:rFonts w:ascii="Calibri" w:hAnsi="Calibri" w:hint="eastAsia"/>
          <w:color w:val="0070C0"/>
          <w:lang w:val="en-US"/>
        </w:rPr>
        <w:t xml:space="preserve"> of Questionnaire on the Revision of the IMO Resolution A.857 (20) on Guidelines for Vessel Traffic Services</w:t>
      </w:r>
    </w:p>
    <w:p w14:paraId="7BEB090F" w14:textId="77777777" w:rsidR="00454737" w:rsidRPr="00605E43" w:rsidRDefault="00454737" w:rsidP="00454737">
      <w:pPr>
        <w:pStyle w:val="Heading1"/>
        <w:numPr>
          <w:ilvl w:val="0"/>
          <w:numId w:val="14"/>
        </w:numPr>
      </w:pPr>
      <w:r w:rsidRPr="00605E43">
        <w:t>Summary</w:t>
      </w:r>
    </w:p>
    <w:p w14:paraId="06F3EC8D" w14:textId="710C737C" w:rsidR="008D7239" w:rsidRPr="001D1049" w:rsidRDefault="0055770E" w:rsidP="008D7239">
      <w:pPr>
        <w:pStyle w:val="BodyText"/>
        <w:rPr>
          <w:rFonts w:ascii="Calibri" w:hAnsi="Calibri" w:cs="Times New Roman"/>
          <w:lang w:val="en-US" w:eastAsia="zh-CN"/>
        </w:rPr>
      </w:pPr>
      <w:r>
        <w:rPr>
          <w:rFonts w:ascii="Calibri" w:hAnsi="Calibri" w:cs="Times New Roman"/>
          <w:lang w:val="en-US" w:eastAsia="zh-CN"/>
        </w:rPr>
        <w:t>In order to obtain the comments and suggestions from</w:t>
      </w:r>
      <w:r w:rsidR="00CB7F1E">
        <w:rPr>
          <w:rFonts w:ascii="Calibri" w:hAnsi="Calibri" w:cs="Times New Roman"/>
          <w:lang w:val="en-US" w:eastAsia="zh-CN"/>
        </w:rPr>
        <w:t xml:space="preserve"> both</w:t>
      </w:r>
      <w:r>
        <w:rPr>
          <w:rFonts w:ascii="Calibri" w:hAnsi="Calibri" w:cs="Times New Roman"/>
          <w:lang w:val="en-US" w:eastAsia="zh-CN"/>
        </w:rPr>
        <w:t xml:space="preserve"> VTS users and VTS </w:t>
      </w:r>
      <w:r w:rsidR="00B31501" w:rsidRPr="00B31501">
        <w:rPr>
          <w:rFonts w:ascii="Calibri" w:hAnsi="Calibri" w:cs="Times New Roman"/>
          <w:lang w:val="en-US" w:eastAsia="zh-CN"/>
        </w:rPr>
        <w:t>personnel</w:t>
      </w:r>
      <w:r w:rsidRPr="0055770E">
        <w:rPr>
          <w:rFonts w:ascii="Calibri" w:hAnsi="Calibri" w:cs="Times New Roman"/>
          <w:lang w:val="en-US" w:eastAsia="zh-CN"/>
        </w:rPr>
        <w:t xml:space="preserve"> on the</w:t>
      </w:r>
      <w:r>
        <w:rPr>
          <w:rFonts w:ascii="Calibri" w:hAnsi="Calibri" w:cs="Times New Roman"/>
          <w:lang w:val="en-US" w:eastAsia="zh-CN"/>
        </w:rPr>
        <w:t xml:space="preserve"> r</w:t>
      </w:r>
      <w:r w:rsidRPr="0055770E">
        <w:rPr>
          <w:rFonts w:ascii="Calibri" w:hAnsi="Calibri" w:cs="Times New Roman"/>
          <w:lang w:val="en-US" w:eastAsia="zh-CN"/>
        </w:rPr>
        <w:t>evision of the IMO Resolution A.857 (20)</w:t>
      </w:r>
      <w:r>
        <w:rPr>
          <w:rFonts w:ascii="Calibri" w:hAnsi="Calibri" w:cs="Times New Roman"/>
          <w:lang w:val="en-US" w:eastAsia="zh-CN"/>
        </w:rPr>
        <w:t xml:space="preserve"> </w:t>
      </w:r>
      <w:r w:rsidR="00C57508" w:rsidRPr="001D1049">
        <w:rPr>
          <w:rFonts w:ascii="Calibri" w:hAnsi="Calibri" w:cs="Times New Roman" w:hint="eastAsia"/>
          <w:lang w:val="en-US" w:eastAsia="zh-CN"/>
        </w:rPr>
        <w:t>on Guidelines for Vessel Traffic Services</w:t>
      </w:r>
      <w:r>
        <w:rPr>
          <w:rFonts w:ascii="Calibri" w:hAnsi="Calibri" w:cs="Times New Roman" w:hint="eastAsia"/>
          <w:lang w:val="en-US" w:eastAsia="zh-CN"/>
        </w:rPr>
        <w:t>,</w:t>
      </w:r>
      <w:r>
        <w:rPr>
          <w:rFonts w:ascii="Calibri" w:hAnsi="Calibri" w:cs="Times New Roman"/>
          <w:lang w:val="en-US" w:eastAsia="zh-CN"/>
        </w:rPr>
        <w:t xml:space="preserve"> </w:t>
      </w:r>
      <w:r w:rsidR="008D7239" w:rsidRPr="001D1049">
        <w:rPr>
          <w:rFonts w:ascii="Calibri" w:hAnsi="Calibri" w:cs="Times New Roman"/>
          <w:lang w:val="en-US" w:eastAsia="zh-CN"/>
        </w:rPr>
        <w:t xml:space="preserve">China Maritime Safety Administration carried out a questionnaire survey </w:t>
      </w:r>
      <w:r w:rsidR="009D2DD4">
        <w:rPr>
          <w:rFonts w:ascii="Calibri" w:hAnsi="Calibri" w:cs="Times New Roman" w:hint="eastAsia"/>
          <w:lang w:val="en-US" w:eastAsia="zh-CN"/>
        </w:rPr>
        <w:t xml:space="preserve">in </w:t>
      </w:r>
      <w:r w:rsidR="009D2DD4">
        <w:rPr>
          <w:rFonts w:ascii="Calibri" w:hAnsi="Calibri" w:cs="Times New Roman"/>
          <w:lang w:val="en-US" w:eastAsia="zh-CN"/>
        </w:rPr>
        <w:t>February</w:t>
      </w:r>
      <w:r w:rsidR="009D2DD4">
        <w:rPr>
          <w:rFonts w:ascii="Calibri" w:hAnsi="Calibri" w:cs="Times New Roman" w:hint="eastAsia"/>
          <w:lang w:val="en-US" w:eastAsia="zh-CN"/>
        </w:rPr>
        <w:t xml:space="preserve"> </w:t>
      </w:r>
      <w:r w:rsidR="009D2DD4">
        <w:rPr>
          <w:rFonts w:ascii="Calibri" w:hAnsi="Calibri" w:cs="Times New Roman"/>
          <w:lang w:val="en-US" w:eastAsia="zh-CN"/>
        </w:rPr>
        <w:t xml:space="preserve">2018. </w:t>
      </w:r>
      <w:r w:rsidR="009D2DD4">
        <w:rPr>
          <w:rFonts w:ascii="Calibri" w:hAnsi="Calibri" w:cs="Times New Roman" w:hint="eastAsia"/>
          <w:lang w:val="en-US" w:eastAsia="zh-CN"/>
        </w:rPr>
        <w:t>T</w:t>
      </w:r>
      <w:r w:rsidR="008D7239">
        <w:rPr>
          <w:rFonts w:ascii="Calibri" w:hAnsi="Calibri" w:cs="Times New Roman"/>
          <w:lang w:val="en-US" w:eastAsia="zh-CN"/>
        </w:rPr>
        <w:t xml:space="preserve">he </w:t>
      </w:r>
      <w:r w:rsidR="008D7239" w:rsidRPr="001D1049">
        <w:rPr>
          <w:rFonts w:ascii="Calibri" w:hAnsi="Calibri" w:cs="Times New Roman"/>
          <w:lang w:val="en-US" w:eastAsia="zh-CN"/>
        </w:rPr>
        <w:t>survey</w:t>
      </w:r>
      <w:r w:rsidR="008D7239">
        <w:rPr>
          <w:rFonts w:ascii="Calibri" w:hAnsi="Calibri" w:cs="Times New Roman"/>
          <w:lang w:val="en-US" w:eastAsia="zh-CN"/>
        </w:rPr>
        <w:t xml:space="preserve"> collected 1229 </w:t>
      </w:r>
      <w:r w:rsidR="008D7239" w:rsidRPr="001D1049">
        <w:rPr>
          <w:rFonts w:ascii="Calibri" w:hAnsi="Calibri" w:cs="Times New Roman"/>
          <w:lang w:val="en-US" w:eastAsia="zh-CN"/>
        </w:rPr>
        <w:t>questionnaire</w:t>
      </w:r>
      <w:r w:rsidR="008D7239">
        <w:rPr>
          <w:rFonts w:ascii="Calibri" w:hAnsi="Calibri" w:cs="Times New Roman"/>
          <w:lang w:val="en-US" w:eastAsia="zh-CN"/>
        </w:rPr>
        <w:t xml:space="preserve">s from VTS </w:t>
      </w:r>
      <w:r w:rsidR="00CA63DA">
        <w:rPr>
          <w:rFonts w:ascii="Calibri" w:hAnsi="Calibri" w:cs="Times New Roman"/>
          <w:lang w:val="en-US" w:eastAsia="zh-CN"/>
        </w:rPr>
        <w:t>users,</w:t>
      </w:r>
      <w:r w:rsidR="00CA63DA">
        <w:rPr>
          <w:rFonts w:ascii="Calibri" w:hAnsi="Calibri" w:cs="Times New Roman" w:hint="eastAsia"/>
          <w:lang w:val="en-US" w:eastAsia="zh-CN"/>
        </w:rPr>
        <w:t xml:space="preserve"> </w:t>
      </w:r>
      <w:r w:rsidR="00CA63DA">
        <w:rPr>
          <w:rFonts w:ascii="Calibri" w:hAnsi="Calibri" w:cs="Times New Roman"/>
          <w:lang w:val="en-US" w:eastAsia="zh-CN"/>
        </w:rPr>
        <w:t>including</w:t>
      </w:r>
      <w:r w:rsidR="008D7239">
        <w:rPr>
          <w:rFonts w:ascii="Calibri" w:hAnsi="Calibri" w:cs="Times New Roman"/>
          <w:lang w:val="en-US" w:eastAsia="zh-CN"/>
        </w:rPr>
        <w:t xml:space="preserve"> caption,</w:t>
      </w:r>
      <w:r w:rsidR="00CA63DA">
        <w:rPr>
          <w:rFonts w:ascii="Calibri" w:hAnsi="Calibri" w:cs="Times New Roman" w:hint="eastAsia"/>
          <w:lang w:val="en-US" w:eastAsia="zh-CN"/>
        </w:rPr>
        <w:t xml:space="preserve"> </w:t>
      </w:r>
      <w:r w:rsidR="008D7239">
        <w:rPr>
          <w:rFonts w:ascii="Calibri" w:hAnsi="Calibri" w:cs="Times New Roman"/>
          <w:lang w:val="en-US" w:eastAsia="zh-CN"/>
        </w:rPr>
        <w:t>pilot,</w:t>
      </w:r>
      <w:r w:rsidR="00CA63DA">
        <w:rPr>
          <w:rFonts w:ascii="Calibri" w:hAnsi="Calibri" w:cs="Times New Roman" w:hint="eastAsia"/>
          <w:lang w:val="en-US" w:eastAsia="zh-CN"/>
        </w:rPr>
        <w:t xml:space="preserve"> </w:t>
      </w:r>
      <w:r w:rsidR="008D7239">
        <w:rPr>
          <w:rFonts w:ascii="Calibri" w:hAnsi="Calibri" w:cs="Times New Roman"/>
          <w:lang w:val="en-US" w:eastAsia="zh-CN"/>
        </w:rPr>
        <w:t xml:space="preserve">agent and </w:t>
      </w:r>
      <w:r w:rsidR="00C57508">
        <w:rPr>
          <w:rFonts w:ascii="Calibri" w:hAnsi="Calibri" w:cs="Times New Roman"/>
          <w:lang w:val="en-US" w:eastAsia="zh-CN"/>
        </w:rPr>
        <w:t>relevant</w:t>
      </w:r>
      <w:r w:rsidR="008D7239">
        <w:rPr>
          <w:rFonts w:ascii="Calibri" w:hAnsi="Calibri" w:cs="Times New Roman"/>
          <w:lang w:val="en-US" w:eastAsia="zh-CN"/>
        </w:rPr>
        <w:t xml:space="preserve"> stakeholders, and 492 questionnaires from VTS </w:t>
      </w:r>
      <w:r w:rsidR="00B31501" w:rsidRPr="00B31501">
        <w:rPr>
          <w:rFonts w:ascii="Calibri" w:hAnsi="Calibri" w:cs="Times New Roman"/>
          <w:lang w:val="en-US" w:eastAsia="zh-CN"/>
        </w:rPr>
        <w:t>personnel</w:t>
      </w:r>
      <w:r w:rsidR="008D7239">
        <w:rPr>
          <w:rFonts w:ascii="Calibri" w:hAnsi="Calibri" w:cs="Times New Roman"/>
          <w:lang w:val="en-US" w:eastAsia="zh-CN"/>
        </w:rPr>
        <w:t>,</w:t>
      </w:r>
      <w:r w:rsidR="00CA63DA">
        <w:rPr>
          <w:rFonts w:ascii="Calibri" w:hAnsi="Calibri" w:cs="Times New Roman" w:hint="eastAsia"/>
          <w:lang w:val="en-US" w:eastAsia="zh-CN"/>
        </w:rPr>
        <w:t xml:space="preserve"> </w:t>
      </w:r>
      <w:r w:rsidR="00CA63DA">
        <w:rPr>
          <w:rFonts w:ascii="Calibri" w:hAnsi="Calibri" w:cs="Times New Roman"/>
          <w:lang w:val="en-US" w:eastAsia="zh-CN"/>
        </w:rPr>
        <w:t>including VTS operator</w:t>
      </w:r>
      <w:r w:rsidR="008D7239">
        <w:rPr>
          <w:rFonts w:ascii="Calibri" w:hAnsi="Calibri" w:cs="Times New Roman"/>
          <w:lang w:val="en-US" w:eastAsia="zh-CN"/>
        </w:rPr>
        <w:t>,</w:t>
      </w:r>
      <w:r w:rsidR="00CA63DA">
        <w:rPr>
          <w:rFonts w:ascii="Calibri" w:hAnsi="Calibri" w:cs="Times New Roman" w:hint="eastAsia"/>
          <w:lang w:val="en-US" w:eastAsia="zh-CN"/>
        </w:rPr>
        <w:t xml:space="preserve"> </w:t>
      </w:r>
      <w:r w:rsidR="008D7239">
        <w:rPr>
          <w:rFonts w:ascii="Calibri" w:hAnsi="Calibri" w:cs="Times New Roman"/>
          <w:lang w:val="en-US" w:eastAsia="zh-CN"/>
        </w:rPr>
        <w:t>supervis</w:t>
      </w:r>
      <w:r w:rsidR="00C57508">
        <w:rPr>
          <w:rFonts w:ascii="Calibri" w:hAnsi="Calibri" w:cs="Times New Roman" w:hint="eastAsia"/>
          <w:lang w:val="en-US" w:eastAsia="zh-CN"/>
        </w:rPr>
        <w:t>o</w:t>
      </w:r>
      <w:r w:rsidR="008D7239">
        <w:rPr>
          <w:rFonts w:ascii="Calibri" w:hAnsi="Calibri" w:cs="Times New Roman"/>
          <w:lang w:val="en-US" w:eastAsia="zh-CN"/>
        </w:rPr>
        <w:t>r,</w:t>
      </w:r>
      <w:r w:rsidR="00CA63DA">
        <w:rPr>
          <w:rFonts w:ascii="Calibri" w:hAnsi="Calibri" w:cs="Times New Roman" w:hint="eastAsia"/>
          <w:lang w:val="en-US" w:eastAsia="zh-CN"/>
        </w:rPr>
        <w:t xml:space="preserve"> </w:t>
      </w:r>
      <w:r w:rsidR="008D7239">
        <w:rPr>
          <w:rFonts w:ascii="Calibri" w:hAnsi="Calibri" w:cs="Times New Roman"/>
          <w:lang w:val="en-US" w:eastAsia="zh-CN"/>
        </w:rPr>
        <w:t xml:space="preserve">manager and technical </w:t>
      </w:r>
      <w:r w:rsidR="00CB7F1E" w:rsidRPr="00CB7F1E">
        <w:rPr>
          <w:rFonts w:ascii="Calibri" w:hAnsi="Calibri" w:cs="Times New Roman"/>
          <w:lang w:val="en-US" w:eastAsia="zh-CN"/>
        </w:rPr>
        <w:t>support personnel</w:t>
      </w:r>
      <w:r w:rsidR="00CA63DA">
        <w:rPr>
          <w:rFonts w:ascii="Calibri" w:hAnsi="Calibri" w:cs="Times New Roman"/>
          <w:lang w:val="en-US" w:eastAsia="zh-CN"/>
        </w:rPr>
        <w:t>.</w:t>
      </w:r>
    </w:p>
    <w:p w14:paraId="2AF38949" w14:textId="77777777" w:rsidR="00454737" w:rsidRPr="00605E43" w:rsidRDefault="00454737" w:rsidP="00454737">
      <w:pPr>
        <w:pStyle w:val="Heading2"/>
        <w:numPr>
          <w:ilvl w:val="1"/>
          <w:numId w:val="14"/>
        </w:numPr>
      </w:pPr>
      <w:r w:rsidRPr="00605E43">
        <w:t>Purpose of the document</w:t>
      </w:r>
    </w:p>
    <w:p w14:paraId="5F708E2A" w14:textId="548A1D2D" w:rsidR="00563A9D" w:rsidRPr="0055770E" w:rsidRDefault="005C3918" w:rsidP="005C3918">
      <w:pPr>
        <w:pStyle w:val="References"/>
        <w:numPr>
          <w:ilvl w:val="0"/>
          <w:numId w:val="46"/>
        </w:numPr>
        <w:tabs>
          <w:tab w:val="left" w:pos="567"/>
        </w:tabs>
        <w:rPr>
          <w:rFonts w:ascii="Calibri" w:hAnsi="Calibri"/>
          <w:lang w:val="en-US" w:eastAsia="zh-CN"/>
        </w:rPr>
      </w:pPr>
      <w:r w:rsidRPr="0055770E">
        <w:rPr>
          <w:rFonts w:ascii="Calibri" w:hAnsi="Calibri"/>
          <w:lang w:val="en-US" w:eastAsia="zh-CN"/>
        </w:rPr>
        <w:t xml:space="preserve">Submit the relevant information of this survey to VTS 45, and provide reference for the </w:t>
      </w:r>
      <w:r w:rsidR="0055770E" w:rsidRPr="0055770E">
        <w:rPr>
          <w:rFonts w:ascii="Calibri" w:hAnsi="Calibri"/>
          <w:lang w:val="en-US" w:eastAsia="zh-CN"/>
        </w:rPr>
        <w:t>further</w:t>
      </w:r>
      <w:r w:rsidRPr="0055770E">
        <w:rPr>
          <w:rFonts w:ascii="Calibri" w:hAnsi="Calibri"/>
          <w:lang w:val="en-US" w:eastAsia="zh-CN"/>
        </w:rPr>
        <w:t xml:space="preserve"> </w:t>
      </w:r>
      <w:r w:rsidR="0055770E" w:rsidRPr="0055770E">
        <w:rPr>
          <w:rFonts w:ascii="Calibri" w:hAnsi="Calibri"/>
          <w:lang w:val="en-US" w:eastAsia="zh-CN"/>
        </w:rPr>
        <w:t>draft of new resolution.</w:t>
      </w:r>
    </w:p>
    <w:p w14:paraId="3727CD52" w14:textId="77777777" w:rsidR="00454737" w:rsidRPr="007A395D" w:rsidRDefault="00454737" w:rsidP="00454737">
      <w:pPr>
        <w:pStyle w:val="Heading2"/>
        <w:numPr>
          <w:ilvl w:val="1"/>
          <w:numId w:val="14"/>
        </w:numPr>
      </w:pPr>
      <w:r w:rsidRPr="007A395D">
        <w:t>Related documents</w:t>
      </w:r>
    </w:p>
    <w:p w14:paraId="0CFC8375" w14:textId="62A077F0" w:rsidR="00454737" w:rsidRPr="007C29CC" w:rsidRDefault="00A01565" w:rsidP="00A01565">
      <w:pPr>
        <w:pStyle w:val="References"/>
        <w:numPr>
          <w:ilvl w:val="0"/>
          <w:numId w:val="45"/>
        </w:numPr>
        <w:tabs>
          <w:tab w:val="left" w:pos="567"/>
        </w:tabs>
        <w:rPr>
          <w:rFonts w:ascii="Calibri" w:hAnsi="Calibri"/>
        </w:rPr>
      </w:pPr>
      <w:r w:rsidRPr="007C29CC">
        <w:rPr>
          <w:rFonts w:ascii="Calibri" w:hAnsi="Calibri"/>
          <w:lang w:eastAsia="de-DE"/>
        </w:rPr>
        <w:t>Proposal for a new output for a revision of resolution A.857</w:t>
      </w:r>
      <w:r w:rsidR="00041109">
        <w:rPr>
          <w:rFonts w:ascii="Calibri" w:hAnsi="Calibri"/>
          <w:lang w:eastAsia="de-DE"/>
        </w:rPr>
        <w:t xml:space="preserve"> </w:t>
      </w:r>
      <w:r w:rsidRPr="007C29CC">
        <w:rPr>
          <w:rFonts w:ascii="Calibri" w:hAnsi="Calibri"/>
          <w:lang w:eastAsia="de-DE"/>
        </w:rPr>
        <w:t>(20) on Guidelines for Vessel Traffic Services</w:t>
      </w:r>
      <w:r w:rsidR="00454737" w:rsidRPr="007C29CC">
        <w:rPr>
          <w:rFonts w:ascii="Calibri" w:hAnsi="Calibri"/>
        </w:rPr>
        <w:t>.</w:t>
      </w:r>
      <w:r w:rsidRPr="007C29CC">
        <w:rPr>
          <w:rFonts w:ascii="Calibri" w:hAnsi="Calibri" w:hint="eastAsia"/>
          <w:lang w:eastAsia="zh-CN"/>
        </w:rPr>
        <w:t xml:space="preserve"> </w:t>
      </w:r>
      <w:r w:rsidRPr="007C29CC">
        <w:rPr>
          <w:rFonts w:ascii="Calibri" w:hAnsi="Calibri"/>
          <w:lang w:eastAsia="zh-CN"/>
        </w:rPr>
        <w:t>February</w:t>
      </w:r>
      <w:r w:rsidRPr="007C29CC">
        <w:rPr>
          <w:rFonts w:ascii="Calibri" w:hAnsi="Calibri" w:hint="eastAsia"/>
          <w:lang w:eastAsia="zh-CN"/>
        </w:rPr>
        <w:t xml:space="preserve"> 2018</w:t>
      </w:r>
    </w:p>
    <w:p w14:paraId="4E4BC99D" w14:textId="77777777" w:rsidR="00454737" w:rsidRPr="007A395D" w:rsidRDefault="00454737" w:rsidP="00454737">
      <w:pPr>
        <w:pStyle w:val="Heading1"/>
        <w:numPr>
          <w:ilvl w:val="0"/>
          <w:numId w:val="14"/>
        </w:numPr>
      </w:pPr>
      <w:r w:rsidRPr="007A395D">
        <w:t>Background</w:t>
      </w:r>
    </w:p>
    <w:p w14:paraId="3FEB62A3" w14:textId="35458A99" w:rsidR="00632A74" w:rsidRPr="00632A74" w:rsidRDefault="0022652A" w:rsidP="00632A74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de-DE"/>
        </w:rPr>
        <w:t>The p</w:t>
      </w:r>
      <w:r w:rsidRPr="007C29CC">
        <w:rPr>
          <w:rFonts w:ascii="Calibri" w:hAnsi="Calibri"/>
          <w:lang w:eastAsia="de-DE"/>
        </w:rPr>
        <w:t>roposal for a new output for a revision of resolution A.857</w:t>
      </w:r>
      <w:r w:rsidR="00041109">
        <w:rPr>
          <w:rFonts w:ascii="Calibri" w:hAnsi="Calibri"/>
          <w:lang w:eastAsia="de-DE"/>
        </w:rPr>
        <w:t xml:space="preserve"> </w:t>
      </w:r>
      <w:r w:rsidRPr="007C29CC">
        <w:rPr>
          <w:rFonts w:ascii="Calibri" w:hAnsi="Calibri"/>
          <w:lang w:eastAsia="de-DE"/>
        </w:rPr>
        <w:t>(20) on Guidelines for Vessel Traffic Services</w:t>
      </w:r>
      <w:r>
        <w:rPr>
          <w:rFonts w:ascii="Calibri" w:hAnsi="Calibri"/>
          <w:lang w:eastAsia="de-DE"/>
        </w:rPr>
        <w:t xml:space="preserve"> was adopted </w:t>
      </w:r>
      <w:r w:rsidR="00167845">
        <w:rPr>
          <w:rFonts w:ascii="Calibri" w:hAnsi="Calibri"/>
          <w:lang w:eastAsia="zh-CN"/>
        </w:rPr>
        <w:t>o</w:t>
      </w:r>
      <w:r>
        <w:rPr>
          <w:rFonts w:ascii="Calibri" w:hAnsi="Calibri"/>
          <w:lang w:eastAsia="zh-CN"/>
        </w:rPr>
        <w:t>n MSC 99 meeting</w:t>
      </w:r>
      <w:r w:rsidR="00632A74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 xml:space="preserve"> </w:t>
      </w:r>
      <w:r w:rsidR="00632A74" w:rsidRPr="00632A74">
        <w:rPr>
          <w:rFonts w:ascii="Calibri" w:hAnsi="Calibri"/>
          <w:lang w:eastAsia="zh-CN"/>
        </w:rPr>
        <w:t>The Intersessional Meeting had been scheduled to provide input to VTS45 on task 1.4.2 of the 2014-2018 Work Programme on the revision of IMO Resolution A.857(20) Guideline, including:</w:t>
      </w:r>
    </w:p>
    <w:p w14:paraId="4433D657" w14:textId="77777777" w:rsidR="00632A74" w:rsidRPr="00632A74" w:rsidRDefault="00632A74" w:rsidP="00632A74">
      <w:pPr>
        <w:pStyle w:val="BodyText"/>
        <w:rPr>
          <w:rFonts w:ascii="Calibri" w:hAnsi="Calibri"/>
          <w:lang w:eastAsia="zh-CN"/>
        </w:rPr>
      </w:pPr>
      <w:r w:rsidRPr="00632A74">
        <w:rPr>
          <w:rFonts w:ascii="Calibri" w:hAnsi="Calibri"/>
          <w:lang w:eastAsia="zh-CN"/>
        </w:rPr>
        <w:t>1.</w:t>
      </w:r>
      <w:r w:rsidRPr="00632A74">
        <w:rPr>
          <w:rFonts w:ascii="Calibri" w:hAnsi="Calibri"/>
          <w:lang w:eastAsia="zh-CN"/>
        </w:rPr>
        <w:tab/>
        <w:t>Establishing a common understanding of the submission and the tasks required;</w:t>
      </w:r>
    </w:p>
    <w:p w14:paraId="13B29A41" w14:textId="77777777" w:rsidR="00632A74" w:rsidRPr="00632A74" w:rsidRDefault="00632A74" w:rsidP="00632A74">
      <w:pPr>
        <w:pStyle w:val="BodyText"/>
        <w:rPr>
          <w:rFonts w:ascii="Calibri" w:hAnsi="Calibri"/>
          <w:lang w:eastAsia="zh-CN"/>
        </w:rPr>
      </w:pPr>
      <w:r w:rsidRPr="00632A74">
        <w:rPr>
          <w:rFonts w:ascii="Calibri" w:hAnsi="Calibri"/>
          <w:lang w:eastAsia="zh-CN"/>
        </w:rPr>
        <w:t>2.</w:t>
      </w:r>
      <w:r w:rsidRPr="00632A74">
        <w:rPr>
          <w:rFonts w:ascii="Calibri" w:hAnsi="Calibri"/>
          <w:lang w:eastAsia="zh-CN"/>
        </w:rPr>
        <w:tab/>
      </w:r>
      <w:proofErr w:type="gramStart"/>
      <w:r w:rsidRPr="00632A74">
        <w:rPr>
          <w:rFonts w:ascii="Calibri" w:hAnsi="Calibri"/>
          <w:lang w:eastAsia="zh-CN"/>
        </w:rPr>
        <w:t>Establishing</w:t>
      </w:r>
      <w:proofErr w:type="gramEnd"/>
      <w:r w:rsidRPr="00632A74">
        <w:rPr>
          <w:rFonts w:ascii="Calibri" w:hAnsi="Calibri"/>
          <w:lang w:eastAsia="zh-CN"/>
        </w:rPr>
        <w:t xml:space="preserve"> a draft framework and draft work plan for completing the Revision;</w:t>
      </w:r>
    </w:p>
    <w:p w14:paraId="4390F3AF" w14:textId="6C015634" w:rsidR="004C1095" w:rsidRPr="00632A74" w:rsidRDefault="00632A74" w:rsidP="00632A74">
      <w:pPr>
        <w:pStyle w:val="BodyText"/>
        <w:rPr>
          <w:rFonts w:ascii="Calibri" w:hAnsi="Calibri"/>
          <w:lang w:eastAsia="zh-CN"/>
        </w:rPr>
      </w:pPr>
      <w:r w:rsidRPr="00632A74">
        <w:rPr>
          <w:rFonts w:ascii="Calibri" w:hAnsi="Calibri"/>
          <w:lang w:eastAsia="zh-CN"/>
        </w:rPr>
        <w:t>3.</w:t>
      </w:r>
      <w:r w:rsidRPr="00632A74">
        <w:rPr>
          <w:rFonts w:ascii="Calibri" w:hAnsi="Calibri"/>
          <w:lang w:eastAsia="zh-CN"/>
        </w:rPr>
        <w:tab/>
        <w:t>A preliminary structure/content for the new resolution A.857</w:t>
      </w:r>
      <w:r w:rsidR="00041109">
        <w:rPr>
          <w:rFonts w:ascii="Calibri" w:hAnsi="Calibri"/>
          <w:lang w:eastAsia="zh-CN"/>
        </w:rPr>
        <w:t xml:space="preserve"> </w:t>
      </w:r>
      <w:r w:rsidRPr="00632A74">
        <w:rPr>
          <w:rFonts w:ascii="Calibri" w:hAnsi="Calibri"/>
          <w:lang w:eastAsia="zh-CN"/>
        </w:rPr>
        <w:t>(20).</w:t>
      </w:r>
    </w:p>
    <w:p w14:paraId="5CF49C70" w14:textId="77777777" w:rsidR="00632A74" w:rsidRPr="004C1095" w:rsidRDefault="00632A74" w:rsidP="00E36304">
      <w:pPr>
        <w:pStyle w:val="BodyText"/>
        <w:rPr>
          <w:rFonts w:ascii="Calibri" w:hAnsi="Calibri"/>
          <w:lang w:eastAsia="zh-CN"/>
        </w:rPr>
      </w:pPr>
    </w:p>
    <w:p w14:paraId="25B49F66" w14:textId="14C2FBBD" w:rsidR="001854ED" w:rsidRPr="005C3918" w:rsidRDefault="00DB042B" w:rsidP="00E36304">
      <w:pPr>
        <w:pStyle w:val="BodyText"/>
        <w:rPr>
          <w:rFonts w:cs="Arial"/>
        </w:rPr>
      </w:pPr>
      <w:r>
        <w:rPr>
          <w:rFonts w:ascii="Calibri" w:hAnsi="Calibri"/>
          <w:lang w:eastAsia="zh-CN"/>
        </w:rPr>
        <w:lastRenderedPageBreak/>
        <w:t>I</w:t>
      </w:r>
      <w:r>
        <w:rPr>
          <w:rFonts w:ascii="Calibri" w:hAnsi="Calibri" w:hint="eastAsia"/>
          <w:lang w:eastAsia="zh-CN"/>
        </w:rPr>
        <w:t>n order to</w:t>
      </w:r>
      <w:r w:rsidR="00CA63DA">
        <w:rPr>
          <w:rFonts w:ascii="Calibri" w:hAnsi="Calibri" w:hint="eastAsia"/>
          <w:lang w:eastAsia="zh-CN"/>
        </w:rPr>
        <w:t xml:space="preserve"> p</w:t>
      </w:r>
      <w:r w:rsidRPr="001854ED">
        <w:rPr>
          <w:rFonts w:ascii="Calibri" w:hAnsi="Calibri" w:hint="eastAsia"/>
        </w:rPr>
        <w:t xml:space="preserve">rovide data support for the revision of the </w:t>
      </w:r>
      <w:r w:rsidR="00167845">
        <w:rPr>
          <w:rFonts w:ascii="Calibri" w:hAnsi="Calibri"/>
        </w:rPr>
        <w:t>Resolution</w:t>
      </w:r>
      <w:r>
        <w:rPr>
          <w:rFonts w:ascii="Calibri" w:hAnsi="Calibri" w:hint="eastAsia"/>
        </w:rPr>
        <w:t>,</w:t>
      </w:r>
      <w:r w:rsidR="009D2DD4">
        <w:rPr>
          <w:rFonts w:ascii="Calibri" w:hAnsi="Calibri" w:hint="eastAsia"/>
        </w:rPr>
        <w:t xml:space="preserve"> </w:t>
      </w:r>
      <w:r w:rsidR="009D2DD4" w:rsidRPr="0031468F">
        <w:rPr>
          <w:rFonts w:ascii="Calibri" w:hAnsi="Calibri"/>
        </w:rPr>
        <w:t>China Maritime Safety Administration carried out a questionnaire survey</w:t>
      </w:r>
      <w:r w:rsidR="00CA63DA" w:rsidRPr="0031468F">
        <w:rPr>
          <w:rFonts w:ascii="Calibri" w:hAnsi="Calibri" w:hint="eastAsia"/>
        </w:rPr>
        <w:t xml:space="preserve"> based on the</w:t>
      </w:r>
      <w:r w:rsidR="005C3918" w:rsidRPr="0031468F">
        <w:rPr>
          <w:rFonts w:ascii="Calibri" w:hAnsi="Calibri"/>
        </w:rPr>
        <w:t xml:space="preserve"> 8 key areas which require clarification or update.</w:t>
      </w:r>
    </w:p>
    <w:p w14:paraId="4203CE9E" w14:textId="77777777" w:rsidR="00454737" w:rsidRPr="007A395D" w:rsidRDefault="00454737" w:rsidP="00454737">
      <w:pPr>
        <w:pStyle w:val="Heading1"/>
        <w:numPr>
          <w:ilvl w:val="0"/>
          <w:numId w:val="14"/>
        </w:numPr>
      </w:pPr>
      <w:r w:rsidRPr="007A395D">
        <w:t>Discussion</w:t>
      </w:r>
    </w:p>
    <w:p w14:paraId="0FDAE62E" w14:textId="5925E63D" w:rsidR="00CA63DA" w:rsidRDefault="0031468F" w:rsidP="0031468F">
      <w:pPr>
        <w:pStyle w:val="Heading2"/>
        <w:rPr>
          <w:lang w:eastAsia="zh-CN"/>
        </w:rPr>
      </w:pPr>
      <w:r w:rsidRPr="0031468F">
        <w:rPr>
          <w:lang w:eastAsia="zh-CN"/>
        </w:rPr>
        <w:t>Sample Distribution</w:t>
      </w:r>
    </w:p>
    <w:p w14:paraId="66511B37" w14:textId="795E71AC" w:rsidR="00416FCD" w:rsidRPr="00E53AA9" w:rsidRDefault="00416FCD" w:rsidP="00CA63DA">
      <w:pPr>
        <w:pStyle w:val="BodyText"/>
        <w:rPr>
          <w:rFonts w:asciiTheme="minorHAnsi" w:hAnsiTheme="minorHAnsi" w:cstheme="minorHAnsi"/>
          <w:lang w:eastAsia="zh-CN"/>
        </w:rPr>
      </w:pPr>
      <w:r w:rsidRPr="00E53AA9">
        <w:rPr>
          <w:rFonts w:asciiTheme="minorHAnsi" w:hAnsiTheme="minorHAnsi" w:cstheme="minorHAnsi"/>
          <w:lang w:eastAsia="zh-CN"/>
        </w:rPr>
        <w:t xml:space="preserve">Regarding VTS users, the main </w:t>
      </w:r>
      <w:r w:rsidR="00167845">
        <w:rPr>
          <w:rFonts w:asciiTheme="minorHAnsi" w:hAnsiTheme="minorHAnsi" w:cstheme="minorHAnsi"/>
          <w:lang w:eastAsia="zh-CN"/>
        </w:rPr>
        <w:t>respondents</w:t>
      </w:r>
      <w:r w:rsidRPr="00E53AA9">
        <w:rPr>
          <w:rFonts w:asciiTheme="minorHAnsi" w:hAnsiTheme="minorHAnsi" w:cstheme="minorHAnsi"/>
          <w:lang w:eastAsia="zh-CN"/>
        </w:rPr>
        <w:t xml:space="preserve"> </w:t>
      </w:r>
      <w:r w:rsidR="00167845">
        <w:rPr>
          <w:rFonts w:asciiTheme="minorHAnsi" w:hAnsiTheme="minorHAnsi" w:cstheme="minorHAnsi"/>
          <w:lang w:eastAsia="zh-CN"/>
        </w:rPr>
        <w:t>are</w:t>
      </w:r>
      <w:r w:rsidRPr="00E53AA9">
        <w:rPr>
          <w:rFonts w:asciiTheme="minorHAnsi" w:hAnsiTheme="minorHAnsi" w:cstheme="minorHAnsi"/>
          <w:lang w:eastAsia="zh-CN"/>
        </w:rPr>
        <w:t xml:space="preserve"> captain</w:t>
      </w:r>
      <w:r w:rsidR="00167845">
        <w:rPr>
          <w:rFonts w:asciiTheme="minorHAnsi" w:hAnsiTheme="minorHAnsi" w:cstheme="minorHAnsi"/>
          <w:lang w:eastAsia="zh-CN"/>
        </w:rPr>
        <w:t>s</w:t>
      </w:r>
      <w:r w:rsidRPr="00E53AA9">
        <w:rPr>
          <w:rFonts w:asciiTheme="minorHAnsi" w:hAnsiTheme="minorHAnsi" w:cstheme="minorHAnsi"/>
          <w:lang w:eastAsia="zh-CN"/>
        </w:rPr>
        <w:t>.</w:t>
      </w:r>
    </w:p>
    <w:p w14:paraId="7037D5F8" w14:textId="1E08C295" w:rsidR="00CA63DA" w:rsidRDefault="0031468F" w:rsidP="0031468F">
      <w:pPr>
        <w:pStyle w:val="BodyText"/>
        <w:jc w:val="center"/>
        <w:rPr>
          <w:lang w:eastAsia="zh-CN"/>
        </w:rPr>
      </w:pPr>
      <w:r w:rsidRPr="0031468F">
        <w:rPr>
          <w:noProof/>
        </w:rPr>
        <w:drawing>
          <wp:inline distT="0" distB="0" distL="0" distR="0" wp14:anchorId="511D9024" wp14:editId="507AD774">
            <wp:extent cx="5041127" cy="3140766"/>
            <wp:effectExtent l="0" t="0" r="7620" b="254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DC6B890" w14:textId="002AAD40" w:rsidR="008B7E69" w:rsidRPr="007A395D" w:rsidRDefault="008B7E69" w:rsidP="008B7E69">
      <w:pPr>
        <w:pStyle w:val="Figure"/>
        <w:rPr>
          <w:rFonts w:ascii="Calibri" w:hAnsi="Calibri"/>
        </w:rPr>
      </w:pPr>
      <w:r w:rsidRPr="008B7E69">
        <w:rPr>
          <w:rFonts w:ascii="Calibri" w:hAnsi="Calibri"/>
        </w:rPr>
        <w:t>Distribution of VTS user</w:t>
      </w:r>
      <w:r>
        <w:rPr>
          <w:rFonts w:ascii="Calibri" w:hAnsi="Calibri"/>
        </w:rPr>
        <w:t xml:space="preserve">s </w:t>
      </w:r>
      <w:r w:rsidRPr="00BB5E0C">
        <w:rPr>
          <w:rFonts w:ascii="Calibri" w:hAnsi="Calibri"/>
          <w:lang w:eastAsia="zh-CN"/>
        </w:rPr>
        <w:t>respondents</w:t>
      </w:r>
    </w:p>
    <w:p w14:paraId="3DC63B09" w14:textId="77777777" w:rsidR="008D0E75" w:rsidRDefault="008D0E75" w:rsidP="00416FCD">
      <w:pPr>
        <w:pStyle w:val="BodyText"/>
        <w:rPr>
          <w:rFonts w:asciiTheme="minorHAnsi" w:hAnsiTheme="minorHAnsi" w:cstheme="minorHAnsi"/>
          <w:lang w:eastAsia="zh-CN"/>
        </w:rPr>
      </w:pPr>
    </w:p>
    <w:p w14:paraId="5D4FA8CC" w14:textId="67BEFC0E" w:rsidR="0031468F" w:rsidRPr="00E53AA9" w:rsidRDefault="006522A4" w:rsidP="00416FCD">
      <w:pPr>
        <w:pStyle w:val="BodyText"/>
        <w:rPr>
          <w:rFonts w:asciiTheme="minorHAnsi" w:hAnsiTheme="minorHAnsi" w:cstheme="minorHAnsi"/>
          <w:lang w:eastAsia="zh-CN"/>
        </w:rPr>
      </w:pPr>
      <w:r w:rsidRPr="00E53AA9">
        <w:rPr>
          <w:rFonts w:asciiTheme="minorHAnsi" w:hAnsiTheme="minorHAnsi" w:cstheme="minorHAnsi"/>
          <w:lang w:eastAsia="zh-CN"/>
        </w:rPr>
        <w:t>The ships surveyed were vessels berthing at Chinese ports, of which 34% were foreign vessels and 66% were Chinese vessels.</w:t>
      </w:r>
    </w:p>
    <w:p w14:paraId="01B2324F" w14:textId="2381A539" w:rsidR="00E11687" w:rsidRDefault="0031468F" w:rsidP="00416FCD">
      <w:pPr>
        <w:pStyle w:val="BodyText"/>
        <w:jc w:val="center"/>
        <w:rPr>
          <w:lang w:eastAsia="zh-CN"/>
        </w:rPr>
      </w:pPr>
      <w:r w:rsidRPr="0031468F">
        <w:rPr>
          <w:noProof/>
        </w:rPr>
        <w:drawing>
          <wp:inline distT="0" distB="0" distL="0" distR="0" wp14:anchorId="604883D8" wp14:editId="169C9E83">
            <wp:extent cx="2801079" cy="2275840"/>
            <wp:effectExtent l="0" t="0" r="18415" b="10160"/>
            <wp:docPr id="2" name="图表 2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w15="http://schemas.microsoft.com/office/word/2012/wordml" id="{C3772C05-D270-41E9-A120-60D6AADC0A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11687" w:rsidRPr="00E11687">
        <w:rPr>
          <w:noProof/>
        </w:rPr>
        <w:drawing>
          <wp:inline distT="0" distB="0" distL="0" distR="0" wp14:anchorId="51AAAFE6" wp14:editId="5682F78F">
            <wp:extent cx="3003210" cy="2267585"/>
            <wp:effectExtent l="0" t="0" r="6985" b="18415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85A39CD" w14:textId="04AB6510" w:rsidR="008D0E75" w:rsidRDefault="008D0E75" w:rsidP="008D0E75">
      <w:pPr>
        <w:pStyle w:val="Figure"/>
        <w:jc w:val="left"/>
        <w:rPr>
          <w:rFonts w:ascii="Calibri" w:hAnsi="Calibri"/>
        </w:rPr>
      </w:pPr>
      <w:r>
        <w:rPr>
          <w:rFonts w:ascii="Calibri" w:hAnsi="Calibri"/>
        </w:rPr>
        <w:t xml:space="preserve">Distribution of flag of vessel </w:t>
      </w:r>
      <w:r w:rsidR="008B7E69" w:rsidRPr="00BB5E0C">
        <w:rPr>
          <w:rFonts w:ascii="Calibri" w:hAnsi="Calibri"/>
          <w:lang w:eastAsia="zh-CN"/>
        </w:rPr>
        <w:t>respondents</w:t>
      </w:r>
      <w:r>
        <w:rPr>
          <w:rFonts w:ascii="Calibri" w:hAnsi="Calibri"/>
          <w:lang w:eastAsia="zh-CN"/>
        </w:rPr>
        <w:t xml:space="preserve"> (left)</w:t>
      </w:r>
    </w:p>
    <w:p w14:paraId="3F989507" w14:textId="6DE33F18" w:rsidR="008B7E69" w:rsidRPr="00B31501" w:rsidRDefault="008D0E75" w:rsidP="00B31501">
      <w:pPr>
        <w:pStyle w:val="Figure"/>
        <w:jc w:val="left"/>
        <w:rPr>
          <w:rFonts w:ascii="Calibri" w:hAnsi="Calibri"/>
        </w:rPr>
      </w:pPr>
      <w:r w:rsidRPr="00B31501">
        <w:rPr>
          <w:rFonts w:ascii="Calibri" w:hAnsi="Calibri"/>
        </w:rPr>
        <w:t xml:space="preserve">Distribution of VTS types of VTS </w:t>
      </w:r>
      <w:r w:rsidR="00B31501" w:rsidRPr="00B31501">
        <w:rPr>
          <w:rFonts w:ascii="Calibri" w:hAnsi="Calibri"/>
        </w:rPr>
        <w:t xml:space="preserve">personnel </w:t>
      </w:r>
      <w:r w:rsidRPr="00B31501">
        <w:rPr>
          <w:rFonts w:ascii="Calibri" w:hAnsi="Calibri"/>
        </w:rPr>
        <w:t xml:space="preserve">respondents (right) </w:t>
      </w:r>
    </w:p>
    <w:p w14:paraId="3E50D348" w14:textId="77777777" w:rsidR="008D0E75" w:rsidRPr="008D0E75" w:rsidRDefault="008D0E75" w:rsidP="008D0E75">
      <w:pPr>
        <w:rPr>
          <w:lang w:eastAsia="zh-CN"/>
        </w:rPr>
      </w:pPr>
    </w:p>
    <w:p w14:paraId="24D88B24" w14:textId="3D8B23BB" w:rsidR="006522A4" w:rsidRPr="00E53AA9" w:rsidRDefault="00B94465" w:rsidP="006522A4">
      <w:pPr>
        <w:pStyle w:val="BodyText"/>
        <w:rPr>
          <w:rFonts w:asciiTheme="minorHAnsi" w:hAnsiTheme="minorHAnsi" w:cstheme="minorHAnsi"/>
          <w:lang w:eastAsia="zh-CN"/>
        </w:rPr>
      </w:pPr>
      <w:r w:rsidRPr="00E53AA9">
        <w:rPr>
          <w:rFonts w:asciiTheme="minorHAnsi" w:hAnsiTheme="minorHAnsi" w:cstheme="minorHAnsi"/>
          <w:lang w:eastAsia="zh-CN"/>
        </w:rPr>
        <w:t xml:space="preserve">The VTS </w:t>
      </w:r>
      <w:r w:rsidR="00B31501" w:rsidRPr="00B31501">
        <w:rPr>
          <w:rFonts w:asciiTheme="minorHAnsi" w:hAnsiTheme="minorHAnsi" w:cstheme="minorHAnsi"/>
          <w:lang w:eastAsia="zh-CN"/>
        </w:rPr>
        <w:t>personnel</w:t>
      </w:r>
      <w:r w:rsidRPr="00E53AA9">
        <w:rPr>
          <w:rFonts w:asciiTheme="minorHAnsi" w:hAnsiTheme="minorHAnsi" w:cstheme="minorHAnsi"/>
          <w:lang w:eastAsia="zh-CN"/>
        </w:rPr>
        <w:t xml:space="preserve"> </w:t>
      </w:r>
      <w:r w:rsidR="00167845" w:rsidRPr="00E53AA9">
        <w:rPr>
          <w:rFonts w:asciiTheme="minorHAnsi" w:hAnsiTheme="minorHAnsi" w:cstheme="minorHAnsi"/>
          <w:lang w:eastAsia="zh-CN"/>
        </w:rPr>
        <w:t xml:space="preserve">surveyed </w:t>
      </w:r>
      <w:r w:rsidRPr="00E53AA9">
        <w:rPr>
          <w:rFonts w:asciiTheme="minorHAnsi" w:hAnsiTheme="minorHAnsi" w:cstheme="minorHAnsi"/>
          <w:lang w:eastAsia="zh-CN"/>
        </w:rPr>
        <w:t>are mainly VTS operators (57%)</w:t>
      </w:r>
      <w:r w:rsidR="00167845">
        <w:rPr>
          <w:rFonts w:asciiTheme="minorHAnsi" w:hAnsiTheme="minorHAnsi" w:cstheme="minorHAnsi"/>
          <w:lang w:eastAsia="zh-CN"/>
        </w:rPr>
        <w:t>. O</w:t>
      </w:r>
      <w:r w:rsidRPr="00E53AA9">
        <w:rPr>
          <w:rFonts w:asciiTheme="minorHAnsi" w:hAnsiTheme="minorHAnsi" w:cstheme="minorHAnsi"/>
          <w:lang w:eastAsia="zh-CN"/>
        </w:rPr>
        <w:t>ther personnel include VTS manager, VTS supervisor, technical support personnel, etc.</w:t>
      </w:r>
      <w:r w:rsidRPr="00E53AA9">
        <w:rPr>
          <w:rFonts w:asciiTheme="minorHAnsi" w:hAnsiTheme="minorHAnsi" w:cstheme="minorHAnsi"/>
        </w:rPr>
        <w:t xml:space="preserve"> </w:t>
      </w:r>
      <w:r w:rsidRPr="00E53AA9">
        <w:rPr>
          <w:rFonts w:asciiTheme="minorHAnsi" w:hAnsiTheme="minorHAnsi" w:cstheme="minorHAnsi"/>
          <w:lang w:eastAsia="zh-CN"/>
        </w:rPr>
        <w:t>In terms of the type</w:t>
      </w:r>
      <w:r w:rsidR="00167845">
        <w:rPr>
          <w:rFonts w:asciiTheme="minorHAnsi" w:hAnsiTheme="minorHAnsi" w:cstheme="minorHAnsi"/>
          <w:lang w:eastAsia="zh-CN"/>
        </w:rPr>
        <w:t>s</w:t>
      </w:r>
      <w:r w:rsidRPr="00E53AA9">
        <w:rPr>
          <w:rFonts w:asciiTheme="minorHAnsi" w:hAnsiTheme="minorHAnsi" w:cstheme="minorHAnsi"/>
          <w:lang w:eastAsia="zh-CN"/>
        </w:rPr>
        <w:t xml:space="preserve"> of VTS </w:t>
      </w:r>
      <w:r w:rsidR="001D01F5" w:rsidRPr="00E53AA9">
        <w:rPr>
          <w:rFonts w:asciiTheme="minorHAnsi" w:hAnsiTheme="minorHAnsi" w:cstheme="minorHAnsi"/>
          <w:lang w:eastAsia="zh-CN"/>
        </w:rPr>
        <w:t>centre</w:t>
      </w:r>
      <w:r w:rsidRPr="00E53AA9">
        <w:rPr>
          <w:rFonts w:asciiTheme="minorHAnsi" w:hAnsiTheme="minorHAnsi" w:cstheme="minorHAnsi"/>
          <w:lang w:eastAsia="zh-CN"/>
        </w:rPr>
        <w:t xml:space="preserve"> they are engaged in, </w:t>
      </w:r>
      <w:r w:rsidR="001D01F5" w:rsidRPr="00E53AA9">
        <w:rPr>
          <w:rFonts w:asciiTheme="minorHAnsi" w:hAnsiTheme="minorHAnsi" w:cstheme="minorHAnsi"/>
          <w:lang w:eastAsia="zh-CN"/>
        </w:rPr>
        <w:t xml:space="preserve">52% of </w:t>
      </w:r>
      <w:r w:rsidR="00167845">
        <w:rPr>
          <w:rFonts w:asciiTheme="minorHAnsi" w:hAnsiTheme="minorHAnsi" w:cstheme="minorHAnsi"/>
          <w:lang w:eastAsia="zh-CN"/>
        </w:rPr>
        <w:t>respondents</w:t>
      </w:r>
      <w:r w:rsidR="001D01F5" w:rsidRPr="00E53AA9">
        <w:rPr>
          <w:rFonts w:asciiTheme="minorHAnsi" w:hAnsiTheme="minorHAnsi" w:cstheme="minorHAnsi"/>
          <w:lang w:eastAsia="zh-CN"/>
        </w:rPr>
        <w:t xml:space="preserve"> work for port VTS, 28% work for coastal VTS and 20% work for inland VTS.</w:t>
      </w:r>
    </w:p>
    <w:p w14:paraId="529740FD" w14:textId="1716E084" w:rsidR="00B24D1E" w:rsidRPr="007A395D" w:rsidRDefault="001D01F5" w:rsidP="00B24D1E">
      <w:pPr>
        <w:pStyle w:val="Heading2"/>
        <w:numPr>
          <w:ilvl w:val="1"/>
          <w:numId w:val="14"/>
        </w:numPr>
      </w:pPr>
      <w:r>
        <w:rPr>
          <w:lang w:eastAsia="zh-CN"/>
        </w:rPr>
        <w:lastRenderedPageBreak/>
        <w:t>Main Result</w:t>
      </w:r>
    </w:p>
    <w:p w14:paraId="2AE881E6" w14:textId="227BF2B3" w:rsidR="001D01F5" w:rsidRPr="00E53AA9" w:rsidRDefault="001D01F5" w:rsidP="00B31501">
      <w:pPr>
        <w:pStyle w:val="BodyText"/>
        <w:numPr>
          <w:ilvl w:val="0"/>
          <w:numId w:val="47"/>
        </w:numPr>
        <w:rPr>
          <w:rFonts w:ascii="Calibri" w:hAnsi="Calibri"/>
          <w:lang w:eastAsia="zh-CN"/>
        </w:rPr>
      </w:pPr>
      <w:r w:rsidRPr="00E53AA9">
        <w:rPr>
          <w:rFonts w:ascii="Calibri" w:hAnsi="Calibri"/>
          <w:lang w:eastAsia="zh-CN"/>
        </w:rPr>
        <w:t xml:space="preserve">Some VTS </w:t>
      </w:r>
      <w:r w:rsidR="00B31501" w:rsidRPr="00B31501">
        <w:rPr>
          <w:rFonts w:ascii="Calibri" w:hAnsi="Calibri"/>
          <w:lang w:eastAsia="zh-CN"/>
        </w:rPr>
        <w:t xml:space="preserve">personnel </w:t>
      </w:r>
      <w:r w:rsidR="00F1310C" w:rsidRPr="00E53AA9">
        <w:rPr>
          <w:rFonts w:ascii="Calibri" w:hAnsi="Calibri"/>
          <w:lang w:eastAsia="zh-CN"/>
        </w:rPr>
        <w:t xml:space="preserve">(about 30% of the participants) </w:t>
      </w:r>
      <w:r w:rsidRPr="00E53AA9">
        <w:rPr>
          <w:rFonts w:ascii="Calibri" w:hAnsi="Calibri"/>
          <w:lang w:eastAsia="zh-CN"/>
        </w:rPr>
        <w:t xml:space="preserve">believe that the definitions of the competent authority, VTS authority, VTS </w:t>
      </w:r>
      <w:r w:rsidR="00F1310C" w:rsidRPr="00E53AA9">
        <w:rPr>
          <w:rFonts w:ascii="Calibri" w:hAnsi="Calibri"/>
          <w:lang w:eastAsia="zh-CN"/>
        </w:rPr>
        <w:t>centre</w:t>
      </w:r>
      <w:r w:rsidRPr="00E53AA9">
        <w:rPr>
          <w:rFonts w:ascii="Calibri" w:hAnsi="Calibri"/>
          <w:lang w:eastAsia="zh-CN"/>
        </w:rPr>
        <w:t xml:space="preserve">, information service, navigation </w:t>
      </w:r>
      <w:r w:rsidR="00F1310C" w:rsidRPr="00E53AA9">
        <w:rPr>
          <w:rFonts w:ascii="Calibri" w:hAnsi="Calibri"/>
          <w:lang w:eastAsia="zh-CN"/>
        </w:rPr>
        <w:t>assistance</w:t>
      </w:r>
      <w:r w:rsidRPr="00E53AA9">
        <w:rPr>
          <w:rFonts w:ascii="Calibri" w:hAnsi="Calibri"/>
          <w:lang w:eastAsia="zh-CN"/>
        </w:rPr>
        <w:t xml:space="preserve"> service, and traffic organization service are unclear or </w:t>
      </w:r>
      <w:r w:rsidR="00F1310C" w:rsidRPr="00E53AA9">
        <w:rPr>
          <w:rFonts w:ascii="Calibri" w:hAnsi="Calibri"/>
          <w:lang w:eastAsia="zh-CN"/>
        </w:rPr>
        <w:t>ambiguous</w:t>
      </w:r>
      <w:r w:rsidRPr="00E53AA9">
        <w:rPr>
          <w:rFonts w:ascii="Calibri" w:hAnsi="Calibri"/>
          <w:lang w:eastAsia="zh-CN"/>
        </w:rPr>
        <w:t>.</w:t>
      </w:r>
    </w:p>
    <w:p w14:paraId="22FB7A0A" w14:textId="28B66D15" w:rsidR="00BB5E0C" w:rsidRDefault="00BB5E0C" w:rsidP="00BB5E0C">
      <w:pPr>
        <w:pStyle w:val="BodyText"/>
        <w:numPr>
          <w:ilvl w:val="0"/>
          <w:numId w:val="47"/>
        </w:numPr>
        <w:rPr>
          <w:rFonts w:ascii="Calibri" w:hAnsi="Calibri"/>
          <w:lang w:eastAsia="zh-CN"/>
        </w:rPr>
      </w:pPr>
      <w:r w:rsidRPr="00BB5E0C">
        <w:rPr>
          <w:rFonts w:ascii="Calibri" w:hAnsi="Calibri"/>
          <w:lang w:eastAsia="zh-CN"/>
        </w:rPr>
        <w:t xml:space="preserve">Survey statistics indicates that more than 30% respondents thought these disunities would cause some </w:t>
      </w:r>
      <w:proofErr w:type="gramStart"/>
      <w:r w:rsidRPr="00BB5E0C">
        <w:rPr>
          <w:rFonts w:ascii="Calibri" w:hAnsi="Calibri"/>
          <w:lang w:eastAsia="zh-CN"/>
        </w:rPr>
        <w:t>confusions</w:t>
      </w:r>
      <w:proofErr w:type="gramEnd"/>
      <w:r w:rsidRPr="00BB5E0C">
        <w:rPr>
          <w:rFonts w:ascii="Calibri" w:hAnsi="Calibri"/>
          <w:lang w:eastAsia="zh-CN"/>
        </w:rPr>
        <w:t xml:space="preserve"> and more than 90% respondents believe that it was necessary to establish a unified “VTS users guide”.</w:t>
      </w:r>
    </w:p>
    <w:p w14:paraId="74FE13D3" w14:textId="34C06214" w:rsidR="0038696C" w:rsidRPr="0038696C" w:rsidRDefault="0038696C" w:rsidP="0038696C">
      <w:pPr>
        <w:pStyle w:val="BodyText"/>
        <w:numPr>
          <w:ilvl w:val="0"/>
          <w:numId w:val="47"/>
        </w:numPr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 xml:space="preserve">More than 80% </w:t>
      </w:r>
      <w:r>
        <w:rPr>
          <w:rFonts w:ascii="Calibri" w:hAnsi="Calibri"/>
          <w:lang w:eastAsia="zh-CN"/>
        </w:rPr>
        <w:t>participants believe that</w:t>
      </w:r>
      <w:r w:rsidRPr="0038696C">
        <w:rPr>
          <w:rFonts w:ascii="Calibri" w:hAnsi="Calibri" w:hint="eastAsia"/>
          <w:lang w:eastAsia="zh-CN"/>
        </w:rPr>
        <w:t xml:space="preserve"> it</w:t>
      </w:r>
      <w:r>
        <w:rPr>
          <w:rFonts w:ascii="Calibri" w:hAnsi="Calibri"/>
          <w:lang w:eastAsia="zh-CN"/>
        </w:rPr>
        <w:t xml:space="preserve"> is</w:t>
      </w:r>
      <w:r w:rsidRPr="0038696C">
        <w:rPr>
          <w:rFonts w:ascii="Calibri" w:hAnsi="Calibri" w:hint="eastAsia"/>
          <w:lang w:eastAsia="zh-CN"/>
        </w:rPr>
        <w:t xml:space="preserve"> necessary to recognize IALA Standards relating to VTS</w:t>
      </w:r>
      <w:r>
        <w:rPr>
          <w:rFonts w:ascii="Calibri" w:hAnsi="Calibri" w:hint="eastAsia"/>
          <w:lang w:eastAsia="zh-CN"/>
        </w:rPr>
        <w:t>.</w:t>
      </w:r>
      <w:r>
        <w:rPr>
          <w:rFonts w:ascii="Calibri" w:hAnsi="Calibri"/>
          <w:lang w:eastAsia="zh-CN"/>
        </w:rPr>
        <w:t xml:space="preserve"> And more than 70% hold the view that it is </w:t>
      </w:r>
      <w:r w:rsidRPr="0038696C">
        <w:rPr>
          <w:rFonts w:ascii="Calibri" w:hAnsi="Calibri"/>
          <w:lang w:eastAsia="zh-CN"/>
        </w:rPr>
        <w:t xml:space="preserve">necessary to update the definition in Annex 2 of the </w:t>
      </w:r>
      <w:r w:rsidR="00A9617A">
        <w:rPr>
          <w:rFonts w:ascii="Calibri" w:hAnsi="Calibri"/>
          <w:lang w:eastAsia="zh-CN"/>
        </w:rPr>
        <w:t>Resolution</w:t>
      </w:r>
      <w:r w:rsidRPr="0038696C">
        <w:rPr>
          <w:rFonts w:ascii="Calibri" w:hAnsi="Calibri"/>
          <w:lang w:eastAsia="zh-CN"/>
        </w:rPr>
        <w:t xml:space="preserve"> according to documents suc</w:t>
      </w:r>
      <w:r w:rsidR="00A9617A">
        <w:rPr>
          <w:rFonts w:ascii="Calibri" w:hAnsi="Calibri"/>
          <w:lang w:eastAsia="zh-CN"/>
        </w:rPr>
        <w:t>h as IALA Recommendation V-103.</w:t>
      </w:r>
    </w:p>
    <w:p w14:paraId="3B22015E" w14:textId="38532647" w:rsidR="00A9617A" w:rsidRPr="00A9617A" w:rsidRDefault="00A9617A" w:rsidP="00A9617A">
      <w:pPr>
        <w:pStyle w:val="BodyText"/>
        <w:numPr>
          <w:ilvl w:val="0"/>
          <w:numId w:val="47"/>
        </w:numPr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 xml:space="preserve">More than 71% </w:t>
      </w:r>
      <w:r>
        <w:rPr>
          <w:rFonts w:ascii="Calibri" w:hAnsi="Calibri"/>
          <w:lang w:eastAsia="zh-CN"/>
        </w:rPr>
        <w:t xml:space="preserve">participants </w:t>
      </w:r>
      <w:r w:rsidR="00167845">
        <w:rPr>
          <w:rFonts w:ascii="Calibri" w:hAnsi="Calibri"/>
          <w:lang w:eastAsia="zh-CN"/>
        </w:rPr>
        <w:t>thought</w:t>
      </w:r>
      <w:r>
        <w:rPr>
          <w:rFonts w:ascii="Calibri" w:hAnsi="Calibri"/>
          <w:lang w:eastAsia="zh-CN"/>
        </w:rPr>
        <w:t xml:space="preserve"> that </w:t>
      </w:r>
      <w:r w:rsidRPr="00A9617A">
        <w:rPr>
          <w:rFonts w:ascii="Calibri" w:hAnsi="Calibri" w:hint="eastAsia"/>
          <w:lang w:val="en-US" w:eastAsia="zh-CN"/>
        </w:rPr>
        <w:t xml:space="preserve">it </w:t>
      </w:r>
      <w:r>
        <w:rPr>
          <w:rFonts w:ascii="Calibri" w:hAnsi="Calibri"/>
          <w:lang w:val="en-US" w:eastAsia="zh-CN"/>
        </w:rPr>
        <w:t xml:space="preserve">is </w:t>
      </w:r>
      <w:r w:rsidRPr="00A9617A">
        <w:rPr>
          <w:rFonts w:ascii="Calibri" w:hAnsi="Calibri" w:hint="eastAsia"/>
          <w:lang w:val="en-US" w:eastAsia="zh-CN"/>
        </w:rPr>
        <w:t>necessary to clarify the status of VTS beyond territorial seas in the Guideline?</w:t>
      </w:r>
    </w:p>
    <w:p w14:paraId="421828AC" w14:textId="6DD88543" w:rsidR="009753C4" w:rsidRDefault="00A9617A" w:rsidP="009753C4">
      <w:pPr>
        <w:pStyle w:val="BodyText"/>
        <w:numPr>
          <w:ilvl w:val="0"/>
          <w:numId w:val="47"/>
        </w:numPr>
        <w:rPr>
          <w:rFonts w:ascii="Calibri" w:hAnsi="Calibri"/>
          <w:lang w:val="en-US"/>
        </w:rPr>
      </w:pPr>
      <w:r w:rsidRPr="00A9617A">
        <w:rPr>
          <w:rFonts w:ascii="Calibri" w:hAnsi="Calibri" w:hint="eastAsia"/>
          <w:lang w:eastAsia="zh-CN"/>
        </w:rPr>
        <w:t>When the ship is in close-quarters situation or difficult navigational circumstances or in case of defects or deficiencies</w:t>
      </w:r>
      <w:r w:rsidR="003B0D7B">
        <w:rPr>
          <w:rFonts w:ascii="Calibri" w:hAnsi="Calibri"/>
          <w:lang w:eastAsia="zh-CN"/>
        </w:rPr>
        <w:t xml:space="preserve">, 75% participants prefer to provide remind information instead of instructions or </w:t>
      </w:r>
      <w:r w:rsidR="009753C4" w:rsidRPr="009753C4">
        <w:rPr>
          <w:rFonts w:ascii="Calibri" w:hAnsi="Calibri"/>
          <w:lang w:eastAsia="zh-CN"/>
        </w:rPr>
        <w:t>details of execution</w:t>
      </w:r>
      <w:r w:rsidR="009753C4">
        <w:rPr>
          <w:rFonts w:ascii="Calibri" w:hAnsi="Calibri" w:hint="eastAsia"/>
          <w:lang w:eastAsia="zh-CN"/>
        </w:rPr>
        <w:t>.</w:t>
      </w:r>
      <w:r w:rsidR="009753C4">
        <w:rPr>
          <w:rFonts w:ascii="Calibri" w:hAnsi="Calibri"/>
          <w:lang w:eastAsia="zh-CN"/>
        </w:rPr>
        <w:t xml:space="preserve"> However,</w:t>
      </w:r>
      <w:r w:rsidR="009753C4" w:rsidRPr="009753C4">
        <w:rPr>
          <w:rFonts w:ascii="Calibri" w:hAnsi="Calibri"/>
          <w:lang w:eastAsia="zh-CN"/>
        </w:rPr>
        <w:t xml:space="preserve"> </w:t>
      </w:r>
      <w:r w:rsidR="009753C4">
        <w:rPr>
          <w:rFonts w:ascii="Calibri" w:hAnsi="Calibri"/>
          <w:lang w:eastAsia="zh-CN"/>
        </w:rPr>
        <w:t xml:space="preserve">75% participants support the idea that </w:t>
      </w:r>
      <w:r w:rsidR="009753C4" w:rsidRPr="009753C4">
        <w:rPr>
          <w:rFonts w:ascii="Calibri" w:hAnsi="Calibri" w:hint="eastAsia"/>
          <w:lang w:val="en-US"/>
        </w:rPr>
        <w:t>results-oriented instructions limit the ability of VTS operators to provide services to ships.</w:t>
      </w:r>
    </w:p>
    <w:p w14:paraId="247D0228" w14:textId="08B74F3E" w:rsidR="00A97762" w:rsidRDefault="00A97762" w:rsidP="00A97762">
      <w:pPr>
        <w:pStyle w:val="BodyText"/>
        <w:numPr>
          <w:ilvl w:val="0"/>
          <w:numId w:val="47"/>
        </w:numPr>
        <w:adjustRightInd w:val="0"/>
        <w:snapToGrid w:val="0"/>
        <w:rPr>
          <w:rFonts w:ascii="Calibri" w:hAnsi="Calibri"/>
          <w:lang w:eastAsia="zh-CN"/>
        </w:rPr>
      </w:pPr>
      <w:r>
        <w:rPr>
          <w:rFonts w:ascii="Calibri" w:hAnsi="Calibri" w:cs="Times New Roman"/>
          <w:lang w:eastAsia="zh-CN"/>
        </w:rPr>
        <w:t xml:space="preserve">Among the 492 questionnaires collected from VTS practitioner, 74% of the respondents </w:t>
      </w:r>
      <w:r>
        <w:rPr>
          <w:rFonts w:ascii="Calibri" w:hAnsi="Calibri" w:cs="Times New Roman"/>
          <w:lang w:val="en-US" w:eastAsia="zh-CN"/>
        </w:rPr>
        <w:t>thought</w:t>
      </w:r>
      <w:r>
        <w:rPr>
          <w:rFonts w:ascii="Calibri" w:hAnsi="Calibri" w:cs="Times New Roman"/>
          <w:lang w:eastAsia="zh-CN"/>
        </w:rPr>
        <w:t xml:space="preserve"> it necessary to expand the range of VTS operators. The revised Resolution should cover the different roles of VTS personal, including VTS manager, VTS supervisor and </w:t>
      </w:r>
      <w:r w:rsidRPr="00E53AA9">
        <w:rPr>
          <w:rFonts w:asciiTheme="minorHAnsi" w:hAnsiTheme="minorHAnsi" w:cstheme="minorHAnsi"/>
          <w:lang w:eastAsia="zh-CN"/>
        </w:rPr>
        <w:t>technical support</w:t>
      </w:r>
      <w:r>
        <w:rPr>
          <w:rFonts w:asciiTheme="minorHAnsi" w:hAnsiTheme="minorHAnsi" w:cstheme="minorHAnsi"/>
          <w:lang w:eastAsia="zh-CN"/>
        </w:rPr>
        <w:t xml:space="preserve"> staff.</w:t>
      </w:r>
    </w:p>
    <w:p w14:paraId="267D5FBD" w14:textId="77777777" w:rsidR="009753C4" w:rsidRPr="009753C4" w:rsidRDefault="009753C4" w:rsidP="009753C4">
      <w:pPr>
        <w:pStyle w:val="BodyText"/>
        <w:rPr>
          <w:rFonts w:ascii="Calibri" w:hAnsi="Calibri"/>
          <w:lang w:val="en-US"/>
        </w:rPr>
      </w:pPr>
    </w:p>
    <w:p w14:paraId="0F8DAF26" w14:textId="6A41961F" w:rsidR="00B24D1E" w:rsidRDefault="00E53AA9" w:rsidP="00E53AA9">
      <w:pPr>
        <w:pStyle w:val="Heading2"/>
        <w:rPr>
          <w:lang w:eastAsia="zh-CN"/>
        </w:rPr>
      </w:pPr>
      <w:r w:rsidRPr="00E53AA9">
        <w:rPr>
          <w:lang w:eastAsia="zh-CN"/>
        </w:rPr>
        <w:t>Clarification</w:t>
      </w:r>
    </w:p>
    <w:p w14:paraId="66CC9DA5" w14:textId="48A5E656" w:rsidR="00B24D1E" w:rsidRDefault="009753C4" w:rsidP="00B24D1E">
      <w:pPr>
        <w:pStyle w:val="BodyText"/>
        <w:rPr>
          <w:rFonts w:asciiTheme="minorHAnsi" w:hAnsiTheme="minorHAnsi" w:cstheme="minorHAnsi"/>
          <w:lang w:eastAsia="zh-CN"/>
        </w:rPr>
      </w:pPr>
      <w:r w:rsidRPr="00E53AA9">
        <w:rPr>
          <w:rFonts w:asciiTheme="minorHAnsi" w:hAnsiTheme="minorHAnsi" w:cstheme="minorHAnsi"/>
          <w:lang w:eastAsia="zh-CN"/>
        </w:rPr>
        <w:t xml:space="preserve">Although the questionnaire covers </w:t>
      </w:r>
      <w:r w:rsidR="00C14969">
        <w:rPr>
          <w:rFonts w:asciiTheme="minorHAnsi" w:hAnsiTheme="minorHAnsi" w:cstheme="minorHAnsi"/>
          <w:lang w:eastAsia="zh-CN"/>
        </w:rPr>
        <w:t>foreign vessels</w:t>
      </w:r>
      <w:r w:rsidRPr="00E53AA9">
        <w:rPr>
          <w:rFonts w:asciiTheme="minorHAnsi" w:hAnsiTheme="minorHAnsi" w:cstheme="minorHAnsi"/>
          <w:lang w:eastAsia="zh-CN"/>
        </w:rPr>
        <w:t xml:space="preserve">, </w:t>
      </w:r>
      <w:r w:rsidR="00C14969" w:rsidRPr="00C14969">
        <w:rPr>
          <w:rFonts w:asciiTheme="minorHAnsi" w:hAnsiTheme="minorHAnsi" w:cstheme="minorHAnsi"/>
          <w:lang w:eastAsia="zh-CN"/>
        </w:rPr>
        <w:t>Chinese ships accounted for a high proportion</w:t>
      </w:r>
      <w:r w:rsidRPr="00E53AA9">
        <w:rPr>
          <w:rFonts w:asciiTheme="minorHAnsi" w:hAnsiTheme="minorHAnsi" w:cstheme="minorHAnsi"/>
          <w:lang w:eastAsia="zh-CN"/>
        </w:rPr>
        <w:t xml:space="preserve">. In addition, since the ships are berthed at Chinese ports during the </w:t>
      </w:r>
      <w:r w:rsidR="00167845">
        <w:rPr>
          <w:rFonts w:asciiTheme="minorHAnsi" w:hAnsiTheme="minorHAnsi" w:cstheme="minorHAnsi"/>
          <w:lang w:eastAsia="zh-CN"/>
        </w:rPr>
        <w:t>survey</w:t>
      </w:r>
      <w:r w:rsidRPr="00E53AA9">
        <w:rPr>
          <w:rFonts w:asciiTheme="minorHAnsi" w:hAnsiTheme="minorHAnsi" w:cstheme="minorHAnsi"/>
          <w:lang w:eastAsia="zh-CN"/>
        </w:rPr>
        <w:t xml:space="preserve">, there is no guarantee that the survey results will fully comply with the general opinions of global ships. The same is true for VTS </w:t>
      </w:r>
      <w:r w:rsidR="00541366">
        <w:rPr>
          <w:rFonts w:asciiTheme="minorHAnsi" w:hAnsiTheme="minorHAnsi" w:cstheme="minorHAnsi"/>
          <w:lang w:eastAsia="zh-CN"/>
        </w:rPr>
        <w:t>personnel</w:t>
      </w:r>
      <w:r w:rsidRPr="00E53AA9">
        <w:rPr>
          <w:rFonts w:asciiTheme="minorHAnsi" w:hAnsiTheme="minorHAnsi" w:cstheme="minorHAnsi"/>
          <w:lang w:eastAsia="zh-CN"/>
        </w:rPr>
        <w:t>.</w:t>
      </w:r>
    </w:p>
    <w:p w14:paraId="75ABFD40" w14:textId="77777777" w:rsidR="00B24D1E" w:rsidRDefault="00B24D1E" w:rsidP="00B24D1E">
      <w:pPr>
        <w:pStyle w:val="BodyText"/>
        <w:rPr>
          <w:lang w:eastAsia="zh-CN"/>
        </w:rPr>
      </w:pPr>
    </w:p>
    <w:p w14:paraId="13318292" w14:textId="6AC389EB" w:rsidR="00D67942" w:rsidRPr="00D67942" w:rsidRDefault="00D67942" w:rsidP="00B24D1E">
      <w:pPr>
        <w:pStyle w:val="BodyText"/>
        <w:rPr>
          <w:rFonts w:asciiTheme="minorHAnsi" w:hAnsiTheme="minorHAnsi" w:cstheme="minorHAnsi"/>
          <w:lang w:eastAsia="zh-CN"/>
        </w:rPr>
      </w:pPr>
      <w:r w:rsidRPr="00D67942">
        <w:rPr>
          <w:rFonts w:asciiTheme="minorHAnsi" w:hAnsiTheme="minorHAnsi" w:cstheme="minorHAnsi"/>
          <w:lang w:eastAsia="zh-CN"/>
        </w:rPr>
        <w:t xml:space="preserve">The revision on </w:t>
      </w:r>
      <w:r w:rsidR="00B24D1E" w:rsidRPr="00D67942">
        <w:rPr>
          <w:rFonts w:asciiTheme="minorHAnsi" w:hAnsiTheme="minorHAnsi" w:cstheme="minorHAnsi" w:hint="eastAsia"/>
          <w:lang w:eastAsia="zh-CN"/>
        </w:rPr>
        <w:t xml:space="preserve">IMO Resolution A.857 (20) on Guidelines for Vessel Traffic Services </w:t>
      </w:r>
      <w:r w:rsidRPr="00D67942">
        <w:rPr>
          <w:rFonts w:asciiTheme="minorHAnsi" w:hAnsiTheme="minorHAnsi" w:cstheme="minorHAnsi"/>
          <w:lang w:eastAsia="zh-CN"/>
        </w:rPr>
        <w:t xml:space="preserve">should take into account the opinions of VTS users and VTS </w:t>
      </w:r>
      <w:r w:rsidR="00B31501" w:rsidRPr="00B31501">
        <w:rPr>
          <w:rFonts w:asciiTheme="minorHAnsi" w:hAnsiTheme="minorHAnsi" w:cstheme="minorHAnsi"/>
          <w:lang w:eastAsia="zh-CN"/>
        </w:rPr>
        <w:t>personnel</w:t>
      </w:r>
      <w:r w:rsidRPr="00D67942">
        <w:rPr>
          <w:rFonts w:asciiTheme="minorHAnsi" w:hAnsiTheme="minorHAnsi" w:cstheme="minorHAnsi"/>
          <w:lang w:eastAsia="zh-CN"/>
        </w:rPr>
        <w:t xml:space="preserve"> to ensure that the revision is always able to meet the need of users and conform to VTS work practices.</w:t>
      </w:r>
    </w:p>
    <w:p w14:paraId="621F86BF" w14:textId="77777777" w:rsidR="00B24D1E" w:rsidRPr="00B24D1E" w:rsidRDefault="00B24D1E" w:rsidP="00B24D1E">
      <w:pPr>
        <w:pStyle w:val="BodyText"/>
        <w:rPr>
          <w:lang w:eastAsia="zh-CN"/>
        </w:rPr>
      </w:pPr>
    </w:p>
    <w:p w14:paraId="5FB182D7" w14:textId="77777777" w:rsidR="00454737" w:rsidRPr="007A395D" w:rsidRDefault="00454737" w:rsidP="00454737">
      <w:pPr>
        <w:pStyle w:val="Heading1"/>
        <w:numPr>
          <w:ilvl w:val="0"/>
          <w:numId w:val="14"/>
        </w:numPr>
      </w:pPr>
      <w:r w:rsidRPr="007A395D">
        <w:t>Action requested of the Committee</w:t>
      </w:r>
    </w:p>
    <w:p w14:paraId="37F54893" w14:textId="2AE5C856" w:rsidR="00454737" w:rsidRDefault="00454737" w:rsidP="00454737">
      <w:pPr>
        <w:pStyle w:val="BodyText"/>
        <w:rPr>
          <w:rFonts w:ascii="Calibri" w:hAnsi="Calibri"/>
          <w:lang w:eastAsia="zh-CN"/>
        </w:rPr>
      </w:pPr>
      <w:r w:rsidRPr="007A395D">
        <w:rPr>
          <w:rFonts w:ascii="Calibri" w:hAnsi="Calibri"/>
        </w:rPr>
        <w:t xml:space="preserve">The Committee is requested to: </w:t>
      </w:r>
    </w:p>
    <w:p w14:paraId="6D58AE33" w14:textId="59CC8E48" w:rsidR="00454737" w:rsidRDefault="00B24D1E" w:rsidP="00454737">
      <w:pPr>
        <w:pStyle w:val="List1"/>
        <w:numPr>
          <w:ilvl w:val="0"/>
          <w:numId w:val="0"/>
        </w:numPr>
        <w:ind w:left="567" w:hanging="567"/>
        <w:rPr>
          <w:rFonts w:ascii="Calibri" w:eastAsia="SimSun" w:hAnsi="Calibri"/>
          <w:lang w:eastAsia="zh-CN"/>
        </w:rPr>
      </w:pPr>
      <w:r>
        <w:rPr>
          <w:rFonts w:ascii="Calibri" w:hAnsi="Calibri"/>
        </w:rPr>
        <w:t>1</w:t>
      </w:r>
      <w:r>
        <w:rPr>
          <w:rFonts w:ascii="Calibri" w:hAnsi="Calibri"/>
        </w:rPr>
        <w:tab/>
      </w:r>
      <w:r w:rsidR="00D67942" w:rsidRPr="00D67942">
        <w:rPr>
          <w:rFonts w:ascii="Calibri" w:eastAsia="SimSun" w:hAnsi="Calibri"/>
          <w:lang w:eastAsia="zh-CN"/>
        </w:rPr>
        <w:t xml:space="preserve">such surveys </w:t>
      </w:r>
      <w:r w:rsidR="00D67942">
        <w:rPr>
          <w:rFonts w:ascii="Calibri" w:eastAsia="SimSun" w:hAnsi="Calibri"/>
          <w:lang w:eastAsia="zh-CN"/>
        </w:rPr>
        <w:t xml:space="preserve">can </w:t>
      </w:r>
      <w:r w:rsidR="00D67942" w:rsidRPr="00D67942">
        <w:rPr>
          <w:rFonts w:ascii="Calibri" w:eastAsia="SimSun" w:hAnsi="Calibri"/>
          <w:lang w:eastAsia="zh-CN"/>
        </w:rPr>
        <w:t xml:space="preserve">be considered in subsequent </w:t>
      </w:r>
      <w:r w:rsidR="00374091" w:rsidRPr="00374091">
        <w:rPr>
          <w:rFonts w:ascii="Calibri" w:eastAsia="SimSun" w:hAnsi="Calibri"/>
          <w:lang w:eastAsia="zh-CN"/>
        </w:rPr>
        <w:t xml:space="preserve">global VTS </w:t>
      </w:r>
      <w:r w:rsidR="00374091">
        <w:rPr>
          <w:rFonts w:ascii="Calibri" w:eastAsia="SimSun" w:hAnsi="Calibri"/>
          <w:lang w:eastAsia="zh-CN"/>
        </w:rPr>
        <w:t>q</w:t>
      </w:r>
      <w:r w:rsidR="00374091" w:rsidRPr="00374091">
        <w:rPr>
          <w:rFonts w:ascii="Calibri" w:eastAsia="SimSun" w:hAnsi="Calibri"/>
          <w:lang w:eastAsia="zh-CN"/>
        </w:rPr>
        <w:t>uestionnaire</w:t>
      </w:r>
      <w:r w:rsidR="00D67942" w:rsidRPr="00D67942">
        <w:rPr>
          <w:rFonts w:ascii="Calibri" w:eastAsia="SimSun" w:hAnsi="Calibri"/>
          <w:lang w:eastAsia="zh-CN"/>
        </w:rPr>
        <w:t xml:space="preserve"> to provide data support for revision work.</w:t>
      </w:r>
    </w:p>
    <w:p w14:paraId="1727E219" w14:textId="1EED5CFE" w:rsidR="00B24D1E" w:rsidRDefault="00B24D1E" w:rsidP="00B24D1E">
      <w:pPr>
        <w:pStyle w:val="List1"/>
        <w:numPr>
          <w:ilvl w:val="0"/>
          <w:numId w:val="0"/>
        </w:numPr>
        <w:ind w:left="567" w:hanging="567"/>
        <w:rPr>
          <w:rFonts w:ascii="Calibri" w:eastAsia="SimSun" w:hAnsi="Calibri"/>
          <w:lang w:eastAsia="zh-CN"/>
        </w:rPr>
      </w:pPr>
      <w:r>
        <w:rPr>
          <w:rFonts w:ascii="Calibri" w:eastAsia="SimSun" w:hAnsi="Calibri" w:hint="eastAsia"/>
          <w:lang w:eastAsia="zh-CN"/>
        </w:rPr>
        <w:t>2</w:t>
      </w:r>
      <w:r>
        <w:rPr>
          <w:rFonts w:ascii="Calibri" w:hAnsi="Calibri"/>
        </w:rPr>
        <w:tab/>
      </w:r>
      <w:r w:rsidRPr="005421E6">
        <w:rPr>
          <w:rFonts w:ascii="Calibri" w:hAnsi="Calibri"/>
        </w:rPr>
        <w:t xml:space="preserve">consider the </w:t>
      </w:r>
      <w:r w:rsidR="00374091">
        <w:rPr>
          <w:rFonts w:ascii="Calibri" w:eastAsia="SimSun" w:hAnsi="Calibri" w:hint="eastAsia"/>
          <w:lang w:eastAsia="zh-CN"/>
        </w:rPr>
        <w:t>result of th</w:t>
      </w:r>
      <w:r w:rsidR="00374091">
        <w:rPr>
          <w:rFonts w:ascii="Calibri" w:eastAsia="SimSun" w:hAnsi="Calibri"/>
          <w:lang w:eastAsia="zh-CN"/>
        </w:rPr>
        <w:t>e document</w:t>
      </w:r>
      <w:r w:rsidRPr="005421E6">
        <w:rPr>
          <w:rFonts w:ascii="Calibri" w:hAnsi="Calibri"/>
        </w:rPr>
        <w:t>, as appropriate.</w:t>
      </w:r>
      <w:r>
        <w:rPr>
          <w:rFonts w:ascii="Calibri" w:eastAsia="SimSun" w:hAnsi="Calibri" w:hint="eastAsia"/>
          <w:lang w:eastAsia="zh-CN"/>
        </w:rPr>
        <w:t xml:space="preserve"> </w:t>
      </w:r>
    </w:p>
    <w:sectPr w:rsidR="00B24D1E" w:rsidSect="007D7CD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D2F9F" w14:textId="77777777" w:rsidR="00A6346B" w:rsidRDefault="00A6346B" w:rsidP="00362CD9">
      <w:r>
        <w:separator/>
      </w:r>
    </w:p>
  </w:endnote>
  <w:endnote w:type="continuationSeparator" w:id="0">
    <w:p w14:paraId="6D6356D1" w14:textId="77777777" w:rsidR="00A6346B" w:rsidRDefault="00A634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3205A" w14:textId="77777777" w:rsidR="00454737" w:rsidRPr="00036B9E" w:rsidRDefault="00454737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564285">
      <w:rPr>
        <w:rFonts w:ascii="Calibri" w:hAnsi="Calibri"/>
        <w:noProof/>
      </w:rPr>
      <w:t>3</w:t>
    </w:r>
    <w:r w:rsidRPr="00036B9E">
      <w:rPr>
        <w:rFonts w:ascii="Calibri" w:hAnsi="Calibri"/>
      </w:rPr>
      <w:fldChar w:fldCharType="end"/>
    </w:r>
  </w:p>
  <w:p w14:paraId="4F5CE0F4" w14:textId="77777777" w:rsidR="00454737" w:rsidRDefault="004547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C0F6B" w14:textId="77777777" w:rsidR="00A6346B" w:rsidRDefault="00A6346B" w:rsidP="00362CD9">
      <w:r>
        <w:separator/>
      </w:r>
    </w:p>
  </w:footnote>
  <w:footnote w:type="continuationSeparator" w:id="0">
    <w:p w14:paraId="63712870" w14:textId="77777777" w:rsidR="00A6346B" w:rsidRDefault="00A6346B" w:rsidP="00362CD9">
      <w:r>
        <w:continuationSeparator/>
      </w:r>
    </w:p>
  </w:footnote>
  <w:footnote w:id="1">
    <w:p w14:paraId="02BD8FBC" w14:textId="77777777" w:rsidR="00454737" w:rsidRPr="00EA5A97" w:rsidRDefault="00454737" w:rsidP="0045473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3D3FD745" w14:textId="77777777" w:rsidR="00454737" w:rsidRPr="00037DF4" w:rsidRDefault="00454737" w:rsidP="00454737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082EB" w14:textId="77777777" w:rsidR="00454737" w:rsidRDefault="00A6346B">
    <w:pPr>
      <w:pStyle w:val="Header"/>
    </w:pPr>
    <w:r>
      <w:rPr>
        <w:noProof/>
      </w:rPr>
      <w:pict w14:anchorId="55323F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623.85pt;height:65.6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  <w:p w14:paraId="654B5AF1" w14:textId="77777777" w:rsidR="00454737" w:rsidRDefault="004547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65550" w14:textId="77777777" w:rsidR="00454737" w:rsidRDefault="00454737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71552" behindDoc="0" locked="0" layoutInCell="1" allowOverlap="1" wp14:anchorId="3E0E1F03" wp14:editId="3EC88DAF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346B">
      <w:rPr>
        <w:noProof/>
      </w:rPr>
      <w:pict w14:anchorId="03C820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position:absolute;left:0;text-align:left;margin-left:0;margin-top:0;width:623.85pt;height:65.6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  <w:p w14:paraId="5D83AE3C" w14:textId="77777777" w:rsidR="00454737" w:rsidRDefault="0045473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522EE" w14:textId="77777777" w:rsidR="00454737" w:rsidRDefault="00454737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EF04A04" wp14:editId="5354545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A9D9E0" w14:textId="77777777" w:rsidR="00454737" w:rsidRDefault="00454737" w:rsidP="007A395D">
    <w:pPr>
      <w:pStyle w:val="Header"/>
      <w:jc w:val="center"/>
    </w:pPr>
  </w:p>
  <w:p w14:paraId="4B186946" w14:textId="77777777" w:rsidR="00454737" w:rsidRDefault="00A6346B" w:rsidP="007A395D">
    <w:pPr>
      <w:pStyle w:val="Header"/>
      <w:jc w:val="center"/>
    </w:pPr>
    <w:r>
      <w:rPr>
        <w:noProof/>
      </w:rPr>
      <w:pict w14:anchorId="2F9E4D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left:0;text-align:left;margin-left:0;margin-top:0;width:623.85pt;height:65.6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5AEE9E3B"/>
    <w:multiLevelType w:val="singleLevel"/>
    <w:tmpl w:val="5AEE9E3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3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DC124E"/>
    <w:multiLevelType w:val="multilevel"/>
    <w:tmpl w:val="60DC124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4F4D7B"/>
    <w:multiLevelType w:val="hybridMultilevel"/>
    <w:tmpl w:val="61E64104"/>
    <w:lvl w:ilvl="0" w:tplc="C646E0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704F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A3D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BC62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272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127B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EFC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A2762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2850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6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5"/>
  </w:num>
  <w:num w:numId="14">
    <w:abstractNumId w:val="5"/>
  </w:num>
  <w:num w:numId="15">
    <w:abstractNumId w:val="28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6"/>
  </w:num>
  <w:num w:numId="47">
    <w:abstractNumId w:val="24"/>
  </w:num>
  <w:num w:numId="48">
    <w:abstractNumId w:val="27"/>
  </w:num>
  <w:num w:numId="4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1109"/>
    <w:rsid w:val="0004700E"/>
    <w:rsid w:val="00060099"/>
    <w:rsid w:val="00070C13"/>
    <w:rsid w:val="000715C9"/>
    <w:rsid w:val="00084F33"/>
    <w:rsid w:val="00096CC1"/>
    <w:rsid w:val="000A77A7"/>
    <w:rsid w:val="000B1707"/>
    <w:rsid w:val="000C1B3E"/>
    <w:rsid w:val="000C349E"/>
    <w:rsid w:val="000F440A"/>
    <w:rsid w:val="00110AE7"/>
    <w:rsid w:val="00143A67"/>
    <w:rsid w:val="00167845"/>
    <w:rsid w:val="00177F4D"/>
    <w:rsid w:val="00180DDA"/>
    <w:rsid w:val="001854ED"/>
    <w:rsid w:val="001B2A2D"/>
    <w:rsid w:val="001B737D"/>
    <w:rsid w:val="001C44A3"/>
    <w:rsid w:val="001D01F5"/>
    <w:rsid w:val="001D1049"/>
    <w:rsid w:val="001E0E15"/>
    <w:rsid w:val="001F528A"/>
    <w:rsid w:val="001F704E"/>
    <w:rsid w:val="00201722"/>
    <w:rsid w:val="002125B0"/>
    <w:rsid w:val="0022652A"/>
    <w:rsid w:val="00243228"/>
    <w:rsid w:val="00251483"/>
    <w:rsid w:val="002520C6"/>
    <w:rsid w:val="00255CAA"/>
    <w:rsid w:val="00264305"/>
    <w:rsid w:val="002A0346"/>
    <w:rsid w:val="002A4487"/>
    <w:rsid w:val="002A7024"/>
    <w:rsid w:val="002B49E9"/>
    <w:rsid w:val="002C632E"/>
    <w:rsid w:val="002D3E8B"/>
    <w:rsid w:val="002D4575"/>
    <w:rsid w:val="002D5C0C"/>
    <w:rsid w:val="002E03D1"/>
    <w:rsid w:val="002E6B74"/>
    <w:rsid w:val="002E6FCA"/>
    <w:rsid w:val="0031468F"/>
    <w:rsid w:val="00356CD0"/>
    <w:rsid w:val="00362CD9"/>
    <w:rsid w:val="00374091"/>
    <w:rsid w:val="003761CA"/>
    <w:rsid w:val="00380DAF"/>
    <w:rsid w:val="0038696C"/>
    <w:rsid w:val="003972CE"/>
    <w:rsid w:val="003A063F"/>
    <w:rsid w:val="003B0D7B"/>
    <w:rsid w:val="003B28F5"/>
    <w:rsid w:val="003B726C"/>
    <w:rsid w:val="003B7B7D"/>
    <w:rsid w:val="003C54CB"/>
    <w:rsid w:val="003C7A2A"/>
    <w:rsid w:val="003D2DC1"/>
    <w:rsid w:val="003D69D0"/>
    <w:rsid w:val="003F2918"/>
    <w:rsid w:val="003F430E"/>
    <w:rsid w:val="0041088C"/>
    <w:rsid w:val="00416FCD"/>
    <w:rsid w:val="00420A38"/>
    <w:rsid w:val="00431B19"/>
    <w:rsid w:val="00454737"/>
    <w:rsid w:val="004661AD"/>
    <w:rsid w:val="004A5BDB"/>
    <w:rsid w:val="004A6C1D"/>
    <w:rsid w:val="004C1095"/>
    <w:rsid w:val="004D1D85"/>
    <w:rsid w:val="004D3C3A"/>
    <w:rsid w:val="004E1CD1"/>
    <w:rsid w:val="004F61F7"/>
    <w:rsid w:val="005107EB"/>
    <w:rsid w:val="005164C9"/>
    <w:rsid w:val="00521345"/>
    <w:rsid w:val="00526DF0"/>
    <w:rsid w:val="00541366"/>
    <w:rsid w:val="005421E6"/>
    <w:rsid w:val="00545CC4"/>
    <w:rsid w:val="00551FFF"/>
    <w:rsid w:val="0055770E"/>
    <w:rsid w:val="005607A2"/>
    <w:rsid w:val="00563A9D"/>
    <w:rsid w:val="00564285"/>
    <w:rsid w:val="0057198B"/>
    <w:rsid w:val="00573CFE"/>
    <w:rsid w:val="005969F2"/>
    <w:rsid w:val="00597FAE"/>
    <w:rsid w:val="005B32A3"/>
    <w:rsid w:val="005C0D44"/>
    <w:rsid w:val="005C3918"/>
    <w:rsid w:val="005C566C"/>
    <w:rsid w:val="005C7E69"/>
    <w:rsid w:val="005E262D"/>
    <w:rsid w:val="005F23D3"/>
    <w:rsid w:val="005F7E20"/>
    <w:rsid w:val="00605E43"/>
    <w:rsid w:val="006153BB"/>
    <w:rsid w:val="00632A74"/>
    <w:rsid w:val="00636D77"/>
    <w:rsid w:val="006522A4"/>
    <w:rsid w:val="006652C3"/>
    <w:rsid w:val="00691FD0"/>
    <w:rsid w:val="00692148"/>
    <w:rsid w:val="006A1A1E"/>
    <w:rsid w:val="006B6C56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05B8"/>
    <w:rsid w:val="007B6BD5"/>
    <w:rsid w:val="007C29CC"/>
    <w:rsid w:val="007C346C"/>
    <w:rsid w:val="007C7743"/>
    <w:rsid w:val="007D7CD5"/>
    <w:rsid w:val="007E6479"/>
    <w:rsid w:val="007F3446"/>
    <w:rsid w:val="0080294B"/>
    <w:rsid w:val="0082480E"/>
    <w:rsid w:val="0084699A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B5562"/>
    <w:rsid w:val="008B7E69"/>
    <w:rsid w:val="008D0E75"/>
    <w:rsid w:val="008D1694"/>
    <w:rsid w:val="008D7239"/>
    <w:rsid w:val="008D79CB"/>
    <w:rsid w:val="008D7E40"/>
    <w:rsid w:val="008F07BC"/>
    <w:rsid w:val="008F08F7"/>
    <w:rsid w:val="0092692B"/>
    <w:rsid w:val="00930561"/>
    <w:rsid w:val="00943E9C"/>
    <w:rsid w:val="00953F4D"/>
    <w:rsid w:val="00960BB8"/>
    <w:rsid w:val="00964F5C"/>
    <w:rsid w:val="00973B57"/>
    <w:rsid w:val="009753C4"/>
    <w:rsid w:val="00975900"/>
    <w:rsid w:val="009831C0"/>
    <w:rsid w:val="0099161D"/>
    <w:rsid w:val="009D2DD4"/>
    <w:rsid w:val="00A01565"/>
    <w:rsid w:val="00A0389B"/>
    <w:rsid w:val="00A33A3C"/>
    <w:rsid w:val="00A446C9"/>
    <w:rsid w:val="00A6346B"/>
    <w:rsid w:val="00A635D6"/>
    <w:rsid w:val="00A8553A"/>
    <w:rsid w:val="00A93AED"/>
    <w:rsid w:val="00A9617A"/>
    <w:rsid w:val="00A97762"/>
    <w:rsid w:val="00AE1319"/>
    <w:rsid w:val="00AE34BB"/>
    <w:rsid w:val="00B226F2"/>
    <w:rsid w:val="00B24D1E"/>
    <w:rsid w:val="00B274DF"/>
    <w:rsid w:val="00B31501"/>
    <w:rsid w:val="00B56BDF"/>
    <w:rsid w:val="00B65812"/>
    <w:rsid w:val="00B85CD6"/>
    <w:rsid w:val="00B90A27"/>
    <w:rsid w:val="00B94465"/>
    <w:rsid w:val="00B9554D"/>
    <w:rsid w:val="00BB2B9F"/>
    <w:rsid w:val="00BB5E0C"/>
    <w:rsid w:val="00BB7D9E"/>
    <w:rsid w:val="00BC2334"/>
    <w:rsid w:val="00BD3CB8"/>
    <w:rsid w:val="00BD4E6F"/>
    <w:rsid w:val="00BD7D69"/>
    <w:rsid w:val="00BF32F0"/>
    <w:rsid w:val="00BF4DCE"/>
    <w:rsid w:val="00C05CE5"/>
    <w:rsid w:val="00C14969"/>
    <w:rsid w:val="00C25869"/>
    <w:rsid w:val="00C57508"/>
    <w:rsid w:val="00C6171E"/>
    <w:rsid w:val="00C74D5A"/>
    <w:rsid w:val="00CA63DA"/>
    <w:rsid w:val="00CA6F2C"/>
    <w:rsid w:val="00CB7F1E"/>
    <w:rsid w:val="00CF1871"/>
    <w:rsid w:val="00D019CE"/>
    <w:rsid w:val="00D1133E"/>
    <w:rsid w:val="00D17A34"/>
    <w:rsid w:val="00D26628"/>
    <w:rsid w:val="00D332B3"/>
    <w:rsid w:val="00D55207"/>
    <w:rsid w:val="00D67942"/>
    <w:rsid w:val="00D81801"/>
    <w:rsid w:val="00D92B45"/>
    <w:rsid w:val="00D95962"/>
    <w:rsid w:val="00DB042B"/>
    <w:rsid w:val="00DC389B"/>
    <w:rsid w:val="00DC3A70"/>
    <w:rsid w:val="00DE2FEE"/>
    <w:rsid w:val="00E00BE9"/>
    <w:rsid w:val="00E01A06"/>
    <w:rsid w:val="00E11687"/>
    <w:rsid w:val="00E22A11"/>
    <w:rsid w:val="00E31E5C"/>
    <w:rsid w:val="00E36304"/>
    <w:rsid w:val="00E44DD2"/>
    <w:rsid w:val="00E53AA9"/>
    <w:rsid w:val="00E558C3"/>
    <w:rsid w:val="00E55927"/>
    <w:rsid w:val="00E60540"/>
    <w:rsid w:val="00E912A6"/>
    <w:rsid w:val="00EA4844"/>
    <w:rsid w:val="00EA4D9C"/>
    <w:rsid w:val="00EA5A97"/>
    <w:rsid w:val="00EB75EE"/>
    <w:rsid w:val="00EE4C1D"/>
    <w:rsid w:val="00EF3685"/>
    <w:rsid w:val="00F04350"/>
    <w:rsid w:val="00F1310C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B24D1E"/>
    <w:pPr>
      <w:spacing w:before="100" w:beforeAutospacing="1" w:after="100" w:afterAutospacing="1"/>
    </w:pPr>
    <w:rPr>
      <w:rFonts w:ascii="SimSun" w:hAnsi="SimSun" w:cs="SimSu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B24D1E"/>
    <w:pPr>
      <w:spacing w:before="100" w:beforeAutospacing="1" w:after="100" w:afterAutospacing="1"/>
    </w:pPr>
    <w:rPr>
      <w:rFonts w:ascii="SimSun" w:hAnsi="SimSun" w:cs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8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33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304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491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9373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1210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2778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5457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hink\Desktop\A.857(20)&#20462;&#35746;\&#12304;UPDATING&#12305;&#31532;&#20108;&#27425;%20&#38738;&#23707;&#38598;&#20013;&#21150;&#20844;\&#38382;&#21367;&#32479;&#35745;\VTS&#29992;&#25143;&#26679;&#26412;&#20998;&#3186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hink\Desktop\A.857(20)&#20462;&#35746;\&#12304;UPDATING&#12305;&#31532;&#20108;&#27425;%20&#38738;&#23707;&#38598;&#20013;&#21150;&#20844;\&#38382;&#21367;&#32479;&#35745;\&#35745;&#31639;&#34920;--&#23458;&#35266;&#3906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B3F-4280-B6EE-B24C6FAAB79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B3F-4280-B6EE-B24C6FAAB79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B3F-4280-B6EE-B24C6FAAB79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B3F-4280-B6EE-B24C6FAAB79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B3F-4280-B6EE-B24C6FAAB79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B3F-4280-B6EE-B24C6FAAB79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7B3F-4280-B6EE-B24C6FAAB79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7B3F-4280-B6EE-B24C6FAAB79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7B3F-4280-B6EE-B24C6FAAB79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 baseline="0"/>
                      <a:t>Captain</a:t>
                    </a:r>
                    <a:r>
                      <a:rPr lang="en-US" altLang="zh-CN" baseline="0" dirty="0"/>
                      <a:t>
</a:t>
                    </a:r>
                    <a:fld id="{B011A0C7-B61A-4DD4-839B-CC961D12F7D2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 baseline="0"/>
                      <a:t>Chief officer</a:t>
                    </a:r>
                    <a:r>
                      <a:rPr lang="en-US" altLang="zh-CN" baseline="0" dirty="0"/>
                      <a:t>
</a:t>
                    </a:r>
                    <a:fld id="{F5C356EA-E82A-4CED-ADD0-7BD579CDB9A4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altLang="zh-CN" baseline="0"/>
                      <a:t>Second officer</a:t>
                    </a:r>
                    <a:r>
                      <a:rPr lang="en-US" altLang="zh-CN" baseline="0" dirty="0"/>
                      <a:t>
</a:t>
                    </a:r>
                    <a:fld id="{C06A0AEC-9A80-46BD-9D48-F58F12DCC77C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altLang="zh-CN" baseline="0"/>
                      <a:t>Third officer</a:t>
                    </a:r>
                    <a:r>
                      <a:rPr lang="en-US" altLang="zh-CN" baseline="0" dirty="0"/>
                      <a:t>
</a:t>
                    </a:r>
                    <a:fld id="{27AB82ED-C2BD-4297-8E41-249181D81598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altLang="zh-CN" baseline="0"/>
                      <a:t>Agent</a:t>
                    </a:r>
                    <a:r>
                      <a:rPr lang="en-US" altLang="zh-CN" baseline="0" dirty="0"/>
                      <a:t>
</a:t>
                    </a:r>
                    <a:fld id="{69C199FD-3F10-46D2-B6CE-19D83391041C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3.4167172918178924E-2"/>
                  <c:y val="-9.3510104245358942E-3"/>
                </c:manualLayout>
              </c:layout>
              <c:tx>
                <c:rich>
                  <a:bodyPr/>
                  <a:lstStyle/>
                  <a:p>
                    <a:r>
                      <a:rPr lang="en-US" altLang="zh-CN" baseline="0"/>
                      <a:t>Company</a:t>
                    </a:r>
                    <a:r>
                      <a:rPr lang="en-US" altLang="zh-CN" baseline="0" dirty="0"/>
                      <a:t>
</a:t>
                    </a:r>
                    <a:fld id="{A83EC011-5021-4570-BC46-AC31D8F6D972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6.3453321133760857E-2"/>
                  <c:y val="-2.3377526061339683E-2"/>
                </c:manualLayout>
              </c:layout>
              <c:tx>
                <c:rich>
                  <a:bodyPr/>
                  <a:lstStyle/>
                  <a:p>
                    <a:r>
                      <a:rPr lang="en-US" altLang="zh-CN" baseline="0"/>
                      <a:t>Port master</a:t>
                    </a:r>
                    <a:r>
                      <a:rPr lang="en-US" altLang="zh-CN" baseline="0" dirty="0"/>
                      <a:t>
</a:t>
                    </a:r>
                    <a:fld id="{B691F369-775D-4A4B-9379-3B62117B502C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7.1588362304755751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altLang="zh-CN" baseline="0"/>
                      <a:t>Pilot</a:t>
                    </a:r>
                    <a:r>
                      <a:rPr lang="en-US" altLang="zh-CN" baseline="0" dirty="0"/>
                      <a:t>
</a:t>
                    </a:r>
                    <a:fld id="{111C31AC-B27B-45A2-BBE9-124403250381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0.17408988105929254"/>
                  <c:y val="2.8053031273607618E-2"/>
                </c:manualLayout>
              </c:layout>
              <c:tx>
                <c:rich>
                  <a:bodyPr/>
                  <a:lstStyle/>
                  <a:p>
                    <a:r>
                      <a:rPr lang="en-US" altLang="zh-CN" baseline="0"/>
                      <a:t>Others</a:t>
                    </a:r>
                    <a:r>
                      <a:rPr lang="en-US" altLang="zh-CN" baseline="0" dirty="0"/>
                      <a:t>
</a:t>
                    </a:r>
                    <a:fld id="{29257CF8-7145-4502-AAD0-659CFB809B36}" type="PERCENTAGE">
                      <a:rPr lang="en-US" altLang="zh-CN" baseline="0"/>
                      <a:pPr/>
                      <a:t>[百分比]</a:t>
                    </a:fld>
                    <a:endParaRPr lang="en-US" altLang="zh-CN" baseline="0" dirty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7B3F-4280-B6EE-B24C6FAAB79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Sheet1!$E$7:$E$15</c:f>
              <c:strCache>
                <c:ptCount val="9"/>
                <c:pt idx="0">
                  <c:v>船长</c:v>
                </c:pt>
                <c:pt idx="1">
                  <c:v>大副</c:v>
                </c:pt>
                <c:pt idx="2">
                  <c:v>二副</c:v>
                </c:pt>
                <c:pt idx="3">
                  <c:v>三副</c:v>
                </c:pt>
                <c:pt idx="4">
                  <c:v>代理</c:v>
                </c:pt>
                <c:pt idx="5">
                  <c:v>船公司</c:v>
                </c:pt>
                <c:pt idx="6">
                  <c:v>港调</c:v>
                </c:pt>
                <c:pt idx="7">
                  <c:v>引航员</c:v>
                </c:pt>
                <c:pt idx="8">
                  <c:v>其他</c:v>
                </c:pt>
              </c:strCache>
            </c:strRef>
          </c:cat>
          <c:val>
            <c:numRef>
              <c:f>Sheet1!$F$7:$F$15</c:f>
              <c:numCache>
                <c:formatCode>General</c:formatCode>
                <c:ptCount val="9"/>
                <c:pt idx="0">
                  <c:v>647</c:v>
                </c:pt>
                <c:pt idx="1">
                  <c:v>153</c:v>
                </c:pt>
                <c:pt idx="2">
                  <c:v>84</c:v>
                </c:pt>
                <c:pt idx="3">
                  <c:v>70</c:v>
                </c:pt>
                <c:pt idx="4">
                  <c:v>73</c:v>
                </c:pt>
                <c:pt idx="5">
                  <c:v>51</c:v>
                </c:pt>
                <c:pt idx="6">
                  <c:v>26</c:v>
                </c:pt>
                <c:pt idx="7">
                  <c:v>96</c:v>
                </c:pt>
                <c:pt idx="8">
                  <c:v>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7B3F-4280-B6EE-B24C6FAAB7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latin typeface="微软雅黑" panose="020B0503020204020204" pitchFamily="34" charset="-122"/>
          <a:ea typeface="微软雅黑" panose="020B0503020204020204" pitchFamily="34" charset="-122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Chinese ship</c:v>
                </c:pt>
                <c:pt idx="1">
                  <c:v>Foreign ship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634</c:v>
                </c:pt>
                <c:pt idx="1">
                  <c:v>320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CF-4D69-ACBF-8C11B4380DAD}"/>
            </c:ext>
          </c:extLst>
        </c:ser>
        <c:dLbls>
          <c:dLblPos val="ctr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v>题3</c:v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56A-496A-BE33-EA0D9288C12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56A-496A-BE33-EA0D9288C12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56A-496A-BE33-EA0D9288C12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56A-496A-BE33-EA0D9288C12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56A-496A-BE33-EA0D9288C12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56A-496A-BE33-EA0D9288C12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56A-496A-BE33-EA0D9288C12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56A-496A-BE33-EA0D9288C12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56A-496A-BE33-EA0D9288C128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56A-496A-BE33-EA0D9288C128}"/>
              </c:ext>
            </c:extLst>
          </c:dPt>
          <c:dLbls>
            <c:dLbl>
              <c:idx val="0"/>
              <c:layout>
                <c:manualLayout>
                  <c:x val="-0.22321386386581249"/>
                  <c:y val="7.2555922334312559E-2"/>
                </c:manualLayout>
              </c:layout>
              <c:tx>
                <c:rich>
                  <a:bodyPr/>
                  <a:lstStyle/>
                  <a:p>
                    <a:r>
                      <a:rPr lang="en-US" altLang="zh-CN" sz="900" kern="0" baseline="0" dirty="0" smtClean="0">
                        <a:latin typeface="微软雅黑" panose="020B0503020204020204" pitchFamily="34" charset="-122"/>
                        <a:ea typeface="微软雅黑" panose="020B0503020204020204" pitchFamily="34" charset="-122"/>
                        <a:cs typeface="宋体" panose="02010600030101010101" pitchFamily="2" charset="-122"/>
                      </a:rPr>
                      <a:t>Port  VTS </a:t>
                    </a:r>
                    <a:r>
                      <a:rPr lang="en-US" altLang="zh-CN" sz="900" baseline="0" dirty="0" smtClean="0"/>
                      <a:t>,</a:t>
                    </a:r>
                    <a:fld id="{6D83423A-04C5-4BD5-B047-9E2ADB5D4910}" type="VALUE">
                      <a:rPr lang="en-US" altLang="zh-CN" sz="900" baseline="0" smtClean="0"/>
                      <a:pPr/>
                      <a:t>[值]</a:t>
                    </a:fld>
                    <a:r>
                      <a:rPr lang="en-US" altLang="zh-CN" sz="900" baseline="0" dirty="0"/>
                      <a:t>, </a:t>
                    </a:r>
                    <a:fld id="{988A1D98-BF61-4A37-A0BE-FF61312EA965}" type="PERCENTAGE">
                      <a:rPr lang="en-US" altLang="zh-CN" sz="900" baseline="0"/>
                      <a:pPr/>
                      <a:t>[百分比]</a:t>
                    </a:fld>
                    <a:endParaRPr lang="en-US" altLang="zh-CN" sz="900" baseline="0" dirty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56A-496A-BE33-EA0D9288C128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22801416201346428"/>
                  <c:y val="-0.1509163184553701"/>
                </c:manualLayout>
              </c:layout>
              <c:tx>
                <c:rich>
                  <a:bodyPr/>
                  <a:lstStyle/>
                  <a:p>
                    <a:r>
                      <a:rPr lang="en-US" altLang="zh-CN" sz="900" kern="0" baseline="0" dirty="0" smtClean="0">
                        <a:latin typeface="微软雅黑" panose="020B0503020204020204" pitchFamily="34" charset="-122"/>
                        <a:ea typeface="微软雅黑" panose="020B0503020204020204" pitchFamily="34" charset="-122"/>
                        <a:cs typeface="宋体" panose="02010600030101010101" pitchFamily="2" charset="-122"/>
                      </a:rPr>
                      <a:t>Coastal  VTS </a:t>
                    </a:r>
                    <a:r>
                      <a:rPr lang="en-US" altLang="zh-CN" sz="900" baseline="0" dirty="0" smtClean="0"/>
                      <a:t>,</a:t>
                    </a:r>
                    <a:fld id="{42478AD2-5F74-44F6-962B-5FC30DCA85A6}" type="VALUE">
                      <a:rPr lang="en-US" altLang="zh-CN" sz="900" baseline="0" smtClean="0"/>
                      <a:pPr/>
                      <a:t>[值]</a:t>
                    </a:fld>
                    <a:r>
                      <a:rPr lang="en-US" altLang="zh-CN" sz="900" baseline="0" dirty="0"/>
                      <a:t>, </a:t>
                    </a:r>
                    <a:fld id="{9ACFF091-7E1D-4C5B-B42F-48406C3B50A1}" type="PERCENTAGE">
                      <a:rPr lang="en-US" altLang="zh-CN" sz="900" baseline="0"/>
                      <a:pPr/>
                      <a:t>[百分比]</a:t>
                    </a:fld>
                    <a:endParaRPr lang="en-US" altLang="zh-CN" sz="900" baseline="0" dirty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56A-496A-BE33-EA0D9288C128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18961177683224928"/>
                  <c:y val="0.1683297398156051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微软雅黑" panose="020B0503020204020204" pitchFamily="34" charset="-122"/>
                        <a:ea typeface="微软雅黑" panose="020B0503020204020204" pitchFamily="34" charset="-122"/>
                        <a:cs typeface="+mn-cs"/>
                      </a:defRPr>
                    </a:pPr>
                    <a:r>
                      <a:rPr lang="en-US" altLang="zh-CN" sz="900" kern="0" baseline="0" dirty="0" smtClean="0">
                        <a:latin typeface="微软雅黑" panose="020B0503020204020204" pitchFamily="34" charset="-122"/>
                        <a:ea typeface="微软雅黑" panose="020B0503020204020204" pitchFamily="34" charset="-122"/>
                        <a:cs typeface="宋体" panose="02010600030101010101" pitchFamily="2" charset="-122"/>
                      </a:rPr>
                      <a:t>Inland VTS</a:t>
                    </a:r>
                    <a:r>
                      <a:rPr lang="en-US" altLang="zh-CN" sz="900" baseline="0" dirty="0" smtClean="0"/>
                      <a:t>,</a:t>
                    </a:r>
                    <a:fld id="{21D3900D-BAF9-4F63-9916-0D5CA1AA765B}" type="VALUE">
                      <a:rPr lang="en-US" altLang="zh-CN" sz="900" baseline="0" smtClean="0"/>
                      <a:pPr>
                        <a:defRPr sz="8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微软雅黑" panose="020B0503020204020204" pitchFamily="34" charset="-122"/>
                          <a:ea typeface="微软雅黑" panose="020B0503020204020204" pitchFamily="34" charset="-122"/>
                          <a:cs typeface="+mn-cs"/>
                        </a:defRPr>
                      </a:pPr>
                      <a:t>[值]</a:t>
                    </a:fld>
                    <a:r>
                      <a:rPr lang="en-US" altLang="zh-CN" sz="900" baseline="0" dirty="0"/>
                      <a:t>, </a:t>
                    </a:r>
                    <a:fld id="{460F45A5-B834-4AEF-BDE2-0E1A74567FBE}" type="PERCENTAGE">
                      <a:rPr lang="en-US" altLang="zh-CN" sz="900" baseline="0"/>
                      <a:pPr>
                        <a:defRPr sz="8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微软雅黑" panose="020B0503020204020204" pitchFamily="34" charset="-122"/>
                          <a:ea typeface="微软雅黑" panose="020B0503020204020204" pitchFamily="34" charset="-122"/>
                          <a:cs typeface="+mn-cs"/>
                        </a:defRPr>
                      </a:pPr>
                      <a:t>[百分比]</a:t>
                    </a:fld>
                    <a:endParaRPr lang="en-US" altLang="zh-CN" sz="900" baseline="0" dirty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附件1结果!$A$2:$A$4</c:f>
              <c:strCache>
                <c:ptCount val="3"/>
                <c:pt idx="0">
                  <c:v>A</c:v>
                </c:pt>
                <c:pt idx="1">
                  <c:v>B</c:v>
                </c:pt>
                <c:pt idx="2">
                  <c:v>C</c:v>
                </c:pt>
              </c:strCache>
            </c:strRef>
          </c:cat>
          <c:val>
            <c:numRef>
              <c:f>附件2结果!$D$2:$D$4</c:f>
              <c:numCache>
                <c:formatCode>General</c:formatCode>
                <c:ptCount val="3"/>
                <c:pt idx="0">
                  <c:v>355</c:v>
                </c:pt>
                <c:pt idx="1">
                  <c:v>194</c:v>
                </c:pt>
                <c:pt idx="2">
                  <c:v>137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A56A-496A-BE33-EA0D9288C1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微软雅黑" panose="020B0503020204020204" pitchFamily="34" charset="-122"/>
          <a:ea typeface="微软雅黑" panose="020B0503020204020204" pitchFamily="34" charset="-122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89774-5B04-4809-B9E3-631C5A09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23</cp:revision>
  <dcterms:created xsi:type="dcterms:W3CDTF">2018-06-26T09:25:00Z</dcterms:created>
  <dcterms:modified xsi:type="dcterms:W3CDTF">2018-09-03T10:17:00Z</dcterms:modified>
</cp:coreProperties>
</file>